
<file path=[Content_Types].xml><?xml version="1.0" encoding="utf-8"?>
<Types xmlns="http://schemas.openxmlformats.org/package/2006/content-types">
  <Default Extension="xml" ContentType="application/xml"/>
  <Default Extension="rels" ContentType="application/vnd.openxmlformats-package.relationships+xml"/>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5078AC" w14:textId="77777777" w:rsidR="007C26CE" w:rsidRDefault="0079314E" w:rsidP="007C26CE">
      <w:pPr>
        <w:framePr w:w="2790" w:hSpace="141" w:wrap="auto" w:vAnchor="text" w:hAnchor="page" w:x="1232" w:y="-6"/>
        <w:tabs>
          <w:tab w:val="left" w:pos="7371"/>
          <w:tab w:val="left" w:pos="9639"/>
        </w:tabs>
        <w:ind w:right="-4007"/>
        <w:jc w:val="both"/>
      </w:pPr>
      <w:r>
        <w:rPr>
          <w:noProof/>
          <w:sz w:val="20"/>
        </w:rPr>
        <w:drawing>
          <wp:inline distT="0" distB="0" distL="0" distR="0" wp14:anchorId="445EA89E" wp14:editId="7E779514">
            <wp:extent cx="1371600" cy="1304925"/>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371600" cy="1304925"/>
                    </a:xfrm>
                    <a:prstGeom prst="rect">
                      <a:avLst/>
                    </a:prstGeom>
                    <a:noFill/>
                    <a:ln w="9525">
                      <a:noFill/>
                      <a:miter lim="800000"/>
                      <a:headEnd/>
                      <a:tailEnd/>
                    </a:ln>
                  </pic:spPr>
                </pic:pic>
              </a:graphicData>
            </a:graphic>
          </wp:inline>
        </w:drawing>
      </w:r>
    </w:p>
    <w:p w14:paraId="52323C8E" w14:textId="08DAD908" w:rsidR="007C26CE" w:rsidRDefault="007C26CE" w:rsidP="00836B1F">
      <w:pPr>
        <w:jc w:val="both"/>
        <w:rPr>
          <w:b/>
          <w:bCs/>
          <w:sz w:val="28"/>
        </w:rPr>
      </w:pPr>
      <w:r>
        <w:rPr>
          <w:b/>
        </w:rPr>
        <w:t>Svenska Aktuarieföreningen</w:t>
      </w:r>
      <w:r>
        <w:rPr>
          <w:b/>
        </w:rPr>
        <w:tab/>
      </w:r>
      <w:r w:rsidR="0065081B">
        <w:t>2012</w:t>
      </w:r>
      <w:r w:rsidR="00930D98">
        <w:t>-</w:t>
      </w:r>
      <w:r w:rsidR="0065081B">
        <w:t>01-26</w:t>
      </w:r>
      <w:r>
        <w:t xml:space="preserve"> </w:t>
      </w:r>
    </w:p>
    <w:p w14:paraId="6C4A027A" w14:textId="77777777" w:rsidR="007C26CE" w:rsidRDefault="007C26CE" w:rsidP="007C26CE">
      <w:pPr>
        <w:rPr>
          <w:b/>
          <w:bCs/>
          <w:sz w:val="28"/>
        </w:rPr>
      </w:pPr>
    </w:p>
    <w:p w14:paraId="6E4DFBED" w14:textId="77777777" w:rsidR="007C26CE" w:rsidRDefault="007C26CE" w:rsidP="007C26CE">
      <w:pPr>
        <w:rPr>
          <w:b/>
          <w:bCs/>
          <w:sz w:val="28"/>
        </w:rPr>
      </w:pPr>
    </w:p>
    <w:p w14:paraId="40C6ABCF" w14:textId="77777777" w:rsidR="007C26CE" w:rsidRDefault="007C26CE" w:rsidP="007C26CE">
      <w:pPr>
        <w:rPr>
          <w:b/>
          <w:bCs/>
          <w:sz w:val="28"/>
        </w:rPr>
      </w:pPr>
    </w:p>
    <w:p w14:paraId="20B9EFA7" w14:textId="77777777" w:rsidR="007C26CE" w:rsidRDefault="007C26CE" w:rsidP="007C26CE">
      <w:pPr>
        <w:rPr>
          <w:b/>
          <w:bCs/>
          <w:sz w:val="28"/>
        </w:rPr>
      </w:pPr>
    </w:p>
    <w:p w14:paraId="182BB023" w14:textId="77777777" w:rsidR="007C26CE" w:rsidRDefault="007C26CE" w:rsidP="007C26CE">
      <w:pPr>
        <w:rPr>
          <w:b/>
          <w:bCs/>
          <w:sz w:val="28"/>
        </w:rPr>
      </w:pPr>
    </w:p>
    <w:p w14:paraId="5F10F9B7" w14:textId="77777777" w:rsidR="007C26CE" w:rsidRDefault="007C26CE" w:rsidP="007C26CE"/>
    <w:p w14:paraId="0584287A" w14:textId="77777777" w:rsidR="0065081B" w:rsidRDefault="0065081B" w:rsidP="0065081B">
      <w:pPr>
        <w:outlineLvl w:val="0"/>
      </w:pPr>
    </w:p>
    <w:p w14:paraId="000F53B9" w14:textId="77777777" w:rsidR="0065081B" w:rsidRDefault="0065081B" w:rsidP="0065081B">
      <w:pPr>
        <w:outlineLvl w:val="0"/>
      </w:pPr>
      <w:r>
        <w:t>SOU 2011:68</w:t>
      </w:r>
    </w:p>
    <w:p w14:paraId="670B9C5F" w14:textId="77777777" w:rsidR="0065081B" w:rsidRDefault="0065081B" w:rsidP="0065081B"/>
    <w:p w14:paraId="437AE33F" w14:textId="77777777" w:rsidR="0065081B" w:rsidRDefault="0065081B" w:rsidP="0065081B">
      <w:r>
        <w:t>Finansdepartementet</w:t>
      </w:r>
    </w:p>
    <w:p w14:paraId="5C6CBD3B" w14:textId="77777777" w:rsidR="0065081B" w:rsidRDefault="0065081B" w:rsidP="0065081B">
      <w:r>
        <w:t>103 33 Stockholm</w:t>
      </w:r>
    </w:p>
    <w:p w14:paraId="52A45600" w14:textId="77777777" w:rsidR="0065081B" w:rsidRDefault="0065081B" w:rsidP="0065081B"/>
    <w:p w14:paraId="6DB1CC39" w14:textId="77777777" w:rsidR="0065081B" w:rsidRDefault="0065081B" w:rsidP="0065081B">
      <w:pPr>
        <w:rPr>
          <w:rFonts w:cs="Arial"/>
          <w:b/>
          <w:bCs/>
          <w:sz w:val="28"/>
          <w:szCs w:val="20"/>
        </w:rPr>
      </w:pPr>
      <w:r>
        <w:rPr>
          <w:rFonts w:cs="Arial"/>
          <w:b/>
          <w:bCs/>
          <w:sz w:val="28"/>
          <w:szCs w:val="20"/>
        </w:rPr>
        <w:t>Remissvar</w:t>
      </w:r>
    </w:p>
    <w:p w14:paraId="58F49394" w14:textId="77777777" w:rsidR="0065081B" w:rsidRDefault="0065081B" w:rsidP="0065081B">
      <w:pPr>
        <w:rPr>
          <w:b/>
          <w:bCs/>
          <w:sz w:val="28"/>
        </w:rPr>
      </w:pPr>
      <w:r>
        <w:rPr>
          <w:rFonts w:cs="Arial"/>
          <w:b/>
          <w:bCs/>
          <w:sz w:val="28"/>
          <w:szCs w:val="20"/>
        </w:rPr>
        <w:t>Rörelsereglering för försäkring och tjänstepension</w:t>
      </w:r>
    </w:p>
    <w:p w14:paraId="39CE6BC2" w14:textId="77777777" w:rsidR="0065081B" w:rsidRDefault="0065081B" w:rsidP="0065081B">
      <w:pPr>
        <w:pStyle w:val="Brdtext"/>
        <w:rPr>
          <w:rFonts w:ascii="Times New Roman" w:hAnsi="Times New Roman"/>
          <w:sz w:val="22"/>
        </w:rPr>
      </w:pPr>
    </w:p>
    <w:p w14:paraId="3F08C6E5" w14:textId="77777777" w:rsidR="0065081B" w:rsidRDefault="0065081B" w:rsidP="0065081B">
      <w:pPr>
        <w:pStyle w:val="Brdtext"/>
        <w:rPr>
          <w:rFonts w:ascii="Times New Roman" w:hAnsi="Times New Roman"/>
          <w:b/>
          <w:bCs/>
          <w:sz w:val="22"/>
        </w:rPr>
      </w:pPr>
      <w:r>
        <w:rPr>
          <w:rFonts w:ascii="Times New Roman" w:hAnsi="Times New Roman"/>
          <w:sz w:val="22"/>
        </w:rPr>
        <w:t>Svenska Aktuarieföreningen vill inledningsvis anföra att det är önskvärt att försäkringstagarna har samma möjligheter att ta del av riktlinjer för försäkringstekniska beräkningar och andra villkor såsom exempelvis premieberäkning och överskottshantering, oberoende av om denne väljer att teckna ett avtal i ett tjänstepensionsinstitut eller ett försäkringsbolag. Aktuarieföreningens mening är därför att kravet på upprättande av Försäkringstekniska riktlinjer och Försäkringstekniskt beräkningsunderlag eller dokument med motsvarande innehåll bör kvarstå för försäkringsbolag.</w:t>
      </w:r>
    </w:p>
    <w:p w14:paraId="4EC31BBA" w14:textId="77777777" w:rsidR="0065081B" w:rsidRDefault="0065081B" w:rsidP="0065081B">
      <w:pPr>
        <w:pStyle w:val="Brdtext"/>
        <w:rPr>
          <w:rFonts w:ascii="Times New Roman" w:hAnsi="Times New Roman"/>
          <w:b/>
          <w:bCs/>
          <w:sz w:val="24"/>
        </w:rPr>
      </w:pPr>
      <w:r>
        <w:rPr>
          <w:rFonts w:ascii="Times New Roman" w:hAnsi="Times New Roman"/>
          <w:b/>
          <w:bCs/>
          <w:sz w:val="24"/>
        </w:rPr>
        <w:t>Aktuariefunktionen</w:t>
      </w:r>
    </w:p>
    <w:p w14:paraId="2E0B94EC" w14:textId="7AD3FAB3" w:rsidR="0065081B" w:rsidRDefault="0065081B" w:rsidP="0065081B">
      <w:pPr>
        <w:pStyle w:val="Brdtext"/>
        <w:rPr>
          <w:rFonts w:ascii="Times New Roman" w:hAnsi="Times New Roman"/>
          <w:sz w:val="22"/>
        </w:rPr>
      </w:pPr>
      <w:r>
        <w:rPr>
          <w:rFonts w:ascii="Times New Roman" w:hAnsi="Times New Roman"/>
          <w:sz w:val="22"/>
        </w:rPr>
        <w:t>Direktivet beskriver Aktuariefunktionens arbetsuppgifter vad avser försäkringstekniska avsättningar som att samordna beräkningar, säkerställa lämplighet av metoder och modeller, bedöma kvalitet i data, jämfö</w:t>
      </w:r>
      <w:r>
        <w:rPr>
          <w:rFonts w:ascii="Times New Roman" w:hAnsi="Times New Roman"/>
          <w:sz w:val="22"/>
        </w:rPr>
        <w:t>ra bästa skattningar med utfall samt</w:t>
      </w:r>
      <w:r>
        <w:rPr>
          <w:rFonts w:ascii="Times New Roman" w:hAnsi="Times New Roman"/>
          <w:sz w:val="22"/>
        </w:rPr>
        <w:t xml:space="preserve"> informera styrelsen om lämplighet och tillförlitlighet. I övrigt beskrivs arbetsuppgifterna som att yttra sig om policy för tecknande av försäkring respektive återförsäkring och att bidra till riskhanteringssystemet.</w:t>
      </w:r>
    </w:p>
    <w:p w14:paraId="0D5D0039" w14:textId="2EC9AA2D" w:rsidR="0065081B" w:rsidRDefault="0065081B" w:rsidP="0065081B">
      <w:pPr>
        <w:pStyle w:val="Brdtext"/>
        <w:rPr>
          <w:rFonts w:ascii="Times New Roman" w:hAnsi="Times New Roman"/>
          <w:sz w:val="22"/>
        </w:rPr>
      </w:pPr>
      <w:r>
        <w:rPr>
          <w:rFonts w:ascii="Times New Roman" w:hAnsi="Times New Roman"/>
          <w:sz w:val="22"/>
        </w:rPr>
        <w:t>Aktuarieföreningen stödjer denna skrivning och utgår från att Försäkringsmatematisk kunskap</w:t>
      </w:r>
      <w:r>
        <w:rPr>
          <w:rFonts w:ascii="Times New Roman" w:hAnsi="Times New Roman"/>
          <w:sz w:val="22"/>
        </w:rPr>
        <w:t>er</w:t>
      </w:r>
      <w:r>
        <w:rPr>
          <w:rFonts w:ascii="Times New Roman" w:hAnsi="Times New Roman"/>
          <w:sz w:val="22"/>
        </w:rPr>
        <w:t xml:space="preserve"> och metod</w:t>
      </w:r>
      <w:r>
        <w:rPr>
          <w:rFonts w:ascii="Times New Roman" w:hAnsi="Times New Roman"/>
          <w:sz w:val="22"/>
        </w:rPr>
        <w:t>er</w:t>
      </w:r>
      <w:r>
        <w:rPr>
          <w:rFonts w:ascii="Times New Roman" w:hAnsi="Times New Roman"/>
          <w:sz w:val="22"/>
        </w:rPr>
        <w:t xml:space="preserve"> som används bl.a. inom premie</w:t>
      </w:r>
      <w:r>
        <w:rPr>
          <w:rFonts w:ascii="Times New Roman" w:hAnsi="Times New Roman"/>
          <w:sz w:val="22"/>
        </w:rPr>
        <w:softHyphen/>
        <w:t>sättning, överskottshantering samt försäkringstekniska beräkningar inom solvens och redovisning inbegrips i denna definition. Beräkning av försäkringstekniska</w:t>
      </w:r>
      <w:r>
        <w:rPr>
          <w:rFonts w:ascii="Times New Roman" w:hAnsi="Times New Roman"/>
          <w:color w:val="auto"/>
          <w:sz w:val="22"/>
        </w:rPr>
        <w:t xml:space="preserve"> avsättningar är en del av att uppnå alla nämnda syften. Aktuarieföreningens tolkning av</w:t>
      </w:r>
      <w:r>
        <w:rPr>
          <w:rFonts w:ascii="Times New Roman" w:hAnsi="Times New Roman"/>
          <w:sz w:val="22"/>
        </w:rPr>
        <w:t xml:space="preserve"> direktivtexten blir då att direktivet menar att aktuariefunktionen har alla uppräknade arbetsuppgifter oavsett syfte med beräkningarna.</w:t>
      </w:r>
    </w:p>
    <w:p w14:paraId="43DE400E" w14:textId="77777777" w:rsidR="0065081B" w:rsidRDefault="0065081B" w:rsidP="0065081B">
      <w:pPr>
        <w:pStyle w:val="Brdtext"/>
        <w:rPr>
          <w:rFonts w:ascii="Times New Roman" w:hAnsi="Times New Roman"/>
          <w:sz w:val="22"/>
        </w:rPr>
      </w:pPr>
      <w:r>
        <w:rPr>
          <w:rFonts w:ascii="Times New Roman" w:hAnsi="Times New Roman"/>
          <w:sz w:val="22"/>
        </w:rPr>
        <w:t>På motsvarande sätt tolkar Aktuarieföreningen lagtextens förslag rörande Aktuariefunktionens arbetsuppgifter. Det är Aktuariefunktionens ansvar att samordna och svara för kvaliteten i de försäkringstekniska beräkningarna och utredningarna bl a i samband med premiesättning, överskottshantering, solvensberäkning samt redovisning, och bistå styrelsen och rapportera till den i frågor som rör metoder, beräkningar och bedömningar av de försäkringstekniska avsättningarna, värderingen av försäkringsrisker etc.</w:t>
      </w:r>
    </w:p>
    <w:p w14:paraId="11A4A718" w14:textId="77777777" w:rsidR="0065081B" w:rsidRDefault="0065081B" w:rsidP="0065081B">
      <w:pPr>
        <w:pStyle w:val="Brdtext"/>
        <w:rPr>
          <w:rFonts w:ascii="Times New Roman" w:hAnsi="Times New Roman"/>
          <w:sz w:val="22"/>
        </w:rPr>
      </w:pPr>
      <w:r>
        <w:rPr>
          <w:rFonts w:ascii="Times New Roman" w:hAnsi="Times New Roman"/>
          <w:sz w:val="22"/>
        </w:rPr>
        <w:t xml:space="preserve">Aktuarieföreningen tolkar lagförslaget som att det uttalar sig om minst här nämnda olika syften med de försäkringsmatematiska utredningarna men att detta bör förtydligas. </w:t>
      </w:r>
    </w:p>
    <w:p w14:paraId="5FA8D603" w14:textId="77777777" w:rsidR="0065081B" w:rsidRDefault="0065081B" w:rsidP="0065081B">
      <w:pPr>
        <w:pStyle w:val="Brdtext"/>
        <w:rPr>
          <w:rFonts w:ascii="Times New Roman" w:hAnsi="Times New Roman"/>
          <w:sz w:val="22"/>
        </w:rPr>
      </w:pPr>
    </w:p>
    <w:p w14:paraId="6B27259A" w14:textId="77777777" w:rsidR="0065081B" w:rsidRPr="0065081B" w:rsidRDefault="0065081B" w:rsidP="0065081B">
      <w:pPr>
        <w:pStyle w:val="Brdtext"/>
        <w:rPr>
          <w:rFonts w:ascii="Times New Roman" w:hAnsi="Times New Roman"/>
          <w:sz w:val="22"/>
        </w:rPr>
      </w:pPr>
      <w:r w:rsidRPr="0065081B">
        <w:rPr>
          <w:rFonts w:ascii="Times New Roman" w:hAnsi="Times New Roman"/>
          <w:sz w:val="22"/>
        </w:rPr>
        <w:lastRenderedPageBreak/>
        <w:t xml:space="preserve">Aktuarieföreningen vill betona vikten av ett utbildningskrav på en eller flera ytterst ansvarig(a) aktuarie(r). Såsom remissförslaget nu är framlagt ges det utrymme för att formulera ett utbildningskrav genom bemyndigandet att utfärda föreskrifter (4 Kap 39 § 4). Aktuarieföreningen anser att det krav som finns formaliserat idag i FFFS 2011:19 är eftersträvansvärt även i en framtida reglering. Utan ett formellt utbildningskrav i den form som idag gäller, föreligger en uppenbar risk att bedömningen av vad som avses med ”tillräckliga insikter och erfarenheter av funktionens uppgifter” blir godtycklig. </w:t>
      </w:r>
    </w:p>
    <w:p w14:paraId="482D6A0B" w14:textId="57DA7017" w:rsidR="0065081B" w:rsidRPr="0065081B" w:rsidRDefault="0065081B" w:rsidP="0065081B">
      <w:pPr>
        <w:pStyle w:val="Brdtext"/>
        <w:rPr>
          <w:rFonts w:ascii="Times New Roman" w:hAnsi="Times New Roman"/>
          <w:sz w:val="22"/>
        </w:rPr>
      </w:pPr>
      <w:r w:rsidRPr="0065081B">
        <w:rPr>
          <w:rFonts w:ascii="Times New Roman" w:hAnsi="Times New Roman"/>
          <w:sz w:val="22"/>
        </w:rPr>
        <w:t xml:space="preserve">Däremot är Aktuarieföreningens åsikt att den eller de personer som bör beröras av detta kompetenskrav inte är ”den som ska utföra uppgifter i aktuariefunktionen” utan kompetenskraven begränsas till den eller de som är ytterst ansvarig för aktuariefunktionen. Därmed bör också skrivningen i 4 Kap 39 § 4, ’Regeringen eller den myndighet som regeringen bestämmer får meddela föreskrifter om kompetenskrav för den som </w:t>
      </w:r>
      <w:r w:rsidRPr="0065081B">
        <w:rPr>
          <w:rFonts w:ascii="Times New Roman" w:hAnsi="Times New Roman"/>
          <w:i/>
          <w:iCs/>
          <w:sz w:val="22"/>
        </w:rPr>
        <w:t>ska utföra uppgifter</w:t>
      </w:r>
      <w:r w:rsidRPr="0065081B">
        <w:rPr>
          <w:rFonts w:ascii="Times New Roman" w:hAnsi="Times New Roman"/>
          <w:sz w:val="22"/>
        </w:rPr>
        <w:t xml:space="preserve"> i aktuariefunktionen enligt 24 § andra stycket’ </w:t>
      </w:r>
      <w:r w:rsidRPr="00F776DA">
        <w:rPr>
          <w:rFonts w:ascii="Times New Roman" w:hAnsi="Times New Roman"/>
          <w:color w:val="auto"/>
          <w:sz w:val="22"/>
        </w:rPr>
        <w:t>ändras</w:t>
      </w:r>
      <w:r w:rsidRPr="0065081B">
        <w:rPr>
          <w:rFonts w:ascii="Times New Roman" w:hAnsi="Times New Roman"/>
          <w:sz w:val="22"/>
        </w:rPr>
        <w:t xml:space="preserve"> till ’Regeringen eller den myndighet som regeringen bestämmer får meddela föreskrifter om kompetenskrav för den eller de som </w:t>
      </w:r>
      <w:r w:rsidRPr="0065081B">
        <w:rPr>
          <w:rFonts w:ascii="Times New Roman" w:hAnsi="Times New Roman"/>
          <w:i/>
          <w:iCs/>
          <w:sz w:val="22"/>
        </w:rPr>
        <w:t>är ytterst ansvarig</w:t>
      </w:r>
      <w:r w:rsidRPr="0065081B">
        <w:rPr>
          <w:rFonts w:ascii="Times New Roman" w:hAnsi="Times New Roman"/>
          <w:sz w:val="22"/>
        </w:rPr>
        <w:t xml:space="preserve"> för aktuariefunktionen enligt 24 § andra stycket’</w:t>
      </w:r>
    </w:p>
    <w:p w14:paraId="1149FF97" w14:textId="77777777" w:rsidR="0065081B" w:rsidRDefault="0065081B" w:rsidP="0065081B">
      <w:pPr>
        <w:rPr>
          <w:sz w:val="22"/>
        </w:rPr>
      </w:pPr>
    </w:p>
    <w:p w14:paraId="5EDF044B" w14:textId="77777777" w:rsidR="0065081B" w:rsidRDefault="0065081B" w:rsidP="0065081B">
      <w:pPr>
        <w:pStyle w:val="Brdtext"/>
        <w:rPr>
          <w:rFonts w:ascii="Times New Roman" w:hAnsi="Times New Roman"/>
          <w:b/>
          <w:bCs/>
          <w:sz w:val="24"/>
        </w:rPr>
      </w:pPr>
      <w:r>
        <w:rPr>
          <w:rFonts w:ascii="Times New Roman" w:hAnsi="Times New Roman"/>
          <w:b/>
          <w:bCs/>
          <w:sz w:val="24"/>
        </w:rPr>
        <w:t>Riktlinjer</w:t>
      </w:r>
    </w:p>
    <w:p w14:paraId="2CB4932E" w14:textId="77777777" w:rsidR="0065081B" w:rsidRDefault="0065081B" w:rsidP="0065081B">
      <w:pPr>
        <w:pStyle w:val="Brdtext"/>
        <w:rPr>
          <w:rFonts w:ascii="Times New Roman" w:hAnsi="Times New Roman"/>
          <w:sz w:val="22"/>
        </w:rPr>
      </w:pPr>
      <w:r>
        <w:rPr>
          <w:rFonts w:ascii="Times New Roman" w:hAnsi="Times New Roman"/>
          <w:sz w:val="22"/>
        </w:rPr>
        <w:t>Det är Aktuarieföreningens mening att de krav på styrande dokument som föreslås för försäkringsbo</w:t>
      </w:r>
      <w:bookmarkStart w:id="0" w:name="_GoBack"/>
      <w:bookmarkEnd w:id="0"/>
      <w:r>
        <w:rPr>
          <w:rFonts w:ascii="Times New Roman" w:hAnsi="Times New Roman"/>
          <w:sz w:val="22"/>
        </w:rPr>
        <w:t xml:space="preserve">lag ej motsvarar innehållet i gällande krav på innehåll i Försäkringstekniska riktlinjer och Försäkringstekniska beräkningsunderlag. Nuvarande lag föreskriver att Försäkringstekniska riktlinjer och Försäkringstekniskt beräkningsunderlag väsentligen ska utgöra en komplett dokumentation över hur värden kopplade till försäkringsportföljen ska beräknas. Dokumentationen ska också innehålla tillämpade beräkningsparametrar. </w:t>
      </w:r>
    </w:p>
    <w:p w14:paraId="267F0EB3" w14:textId="77777777" w:rsidR="0065081B" w:rsidRDefault="0065081B" w:rsidP="0065081B">
      <w:pPr>
        <w:pStyle w:val="Brdtext"/>
        <w:rPr>
          <w:rFonts w:ascii="Times New Roman" w:hAnsi="Times New Roman"/>
          <w:i/>
          <w:sz w:val="22"/>
        </w:rPr>
      </w:pPr>
      <w:r>
        <w:rPr>
          <w:rFonts w:ascii="Times New Roman" w:hAnsi="Times New Roman"/>
          <w:sz w:val="22"/>
        </w:rPr>
        <w:t>Nuvarande lag åstadkommer detta genom att kräva att dessa styrande dokument finns samt att de tar upp och dokumenterar ett antal rubricerade områden, nämligen hur premier bestäms, försäkringstekniska avsättningar beräknas, försäkringar återköps och belånas, återbäring till försäkringstagarna och andra ersättningsberättigade fördelas, återförsäkring avges och tas emot samt hur soliditeten ska tillgodoses. Genom Finansinspektionens allmänna råd 2011:12 preciseras och utvidgas kraven på innehållet ytterligare såsom att t.ex. bestämning av utbetalade periodiska belopp ska tas upp samt att tillämpade antaganden dokumenteras. Försäkringstekniska riktlinjer för livförsäkringsbolag offentliggörs på Finansinspektionens hemsida.</w:t>
      </w:r>
    </w:p>
    <w:p w14:paraId="7363AB56" w14:textId="5BFA33CA" w:rsidR="0065081B" w:rsidRDefault="0065081B" w:rsidP="0065081B">
      <w:pPr>
        <w:pStyle w:val="Brdtext"/>
        <w:rPr>
          <w:rFonts w:ascii="Times New Roman" w:hAnsi="Times New Roman"/>
          <w:sz w:val="22"/>
        </w:rPr>
      </w:pPr>
      <w:r>
        <w:rPr>
          <w:rFonts w:ascii="Times New Roman" w:hAnsi="Times New Roman"/>
          <w:sz w:val="22"/>
        </w:rPr>
        <w:t xml:space="preserve">Värdet med Försäkringstekniska riktlinjer och Försäkringstekniskt beräkningsunderlag uppstår genom kravet att dokumentationen ska finnas, beröra alla dessa aspekter och vara samlad. Därigenom utgör nuvarande Försäkringstekniska riktlinjer och Försäkringstekniskt beräkningsunderlag ett värdefullt instrument för såväl försäkringsföretaget som tillsyn och revision. Riktlinjerna säkerställer dessutom att försäkringstagarna har möjlighet att ta del av bolagens riktlinjer för försäkringstekniska beräkningar. </w:t>
      </w:r>
    </w:p>
    <w:p w14:paraId="51B0F8EE" w14:textId="77777777" w:rsidR="0065081B" w:rsidRDefault="0065081B" w:rsidP="0065081B">
      <w:pPr>
        <w:pStyle w:val="Brdtext"/>
        <w:rPr>
          <w:rFonts w:ascii="Times New Roman" w:hAnsi="Times New Roman"/>
          <w:i/>
          <w:sz w:val="22"/>
        </w:rPr>
      </w:pPr>
      <w:r>
        <w:rPr>
          <w:rFonts w:ascii="Times New Roman" w:hAnsi="Times New Roman"/>
          <w:sz w:val="22"/>
        </w:rPr>
        <w:t>Med de styrande dokument som Solvens II utredningens lagförslag innehåller är det Aktuarieföreningens mening att det förvisso krävs att styrande dokument ska finnas, men att dessa enligt lagförslaget/direktivet snarare tenderar att betona beräkningen av försäkringstekniska avsättningar för solvensändamål samt företagets riskhantering. Genom detta kommer kravet på de delar av Försäkringstekniska riktlinjer och Försäkringstekniskt beräkningsunderlag som behandlar hur värden mot försäkrad/försäkringstagare bestäms att komma i skymundan.</w:t>
      </w:r>
    </w:p>
    <w:p w14:paraId="0D4A9184" w14:textId="77777777" w:rsidR="0065081B" w:rsidRDefault="0065081B" w:rsidP="0065081B">
      <w:pPr>
        <w:pStyle w:val="Brdtext"/>
        <w:rPr>
          <w:rFonts w:ascii="Times New Roman" w:hAnsi="Times New Roman"/>
          <w:sz w:val="22"/>
        </w:rPr>
      </w:pPr>
      <w:r>
        <w:rPr>
          <w:rFonts w:ascii="Times New Roman" w:hAnsi="Times New Roman"/>
          <w:sz w:val="22"/>
        </w:rPr>
        <w:t>Aktuarieföreningen anser därför att det är av största vikt att det även efter lagförslagets genomförande fortsatt finns krav på försäkringsföretagen att hålla en samlad dokumentation med motsvarande innehåll som Försäkringstekniska riktlinjer och Försäkringstekniskt beräkningsunderlag.</w:t>
      </w:r>
    </w:p>
    <w:p w14:paraId="149E0A25" w14:textId="77777777" w:rsidR="0065081B" w:rsidRDefault="0065081B" w:rsidP="0065081B">
      <w:pPr>
        <w:pStyle w:val="Brdtext"/>
        <w:rPr>
          <w:rFonts w:ascii="Times New Roman" w:hAnsi="Times New Roman"/>
          <w:sz w:val="22"/>
        </w:rPr>
      </w:pPr>
    </w:p>
    <w:p w14:paraId="6F9F0B71" w14:textId="77777777" w:rsidR="0065081B" w:rsidRDefault="0065081B" w:rsidP="0065081B">
      <w:pPr>
        <w:pStyle w:val="Brdtext"/>
        <w:rPr>
          <w:rFonts w:ascii="Times New Roman" w:hAnsi="Times New Roman"/>
          <w:b/>
          <w:bCs/>
          <w:sz w:val="24"/>
        </w:rPr>
      </w:pPr>
    </w:p>
    <w:p w14:paraId="4386DCB8" w14:textId="77777777" w:rsidR="0065081B" w:rsidRDefault="0065081B" w:rsidP="0065081B">
      <w:pPr>
        <w:pStyle w:val="Brdtext"/>
        <w:rPr>
          <w:rFonts w:ascii="Times New Roman" w:hAnsi="Times New Roman"/>
          <w:b/>
          <w:bCs/>
          <w:sz w:val="24"/>
        </w:rPr>
      </w:pPr>
    </w:p>
    <w:p w14:paraId="00BD1A46" w14:textId="77777777" w:rsidR="0065081B" w:rsidRDefault="0065081B" w:rsidP="0065081B">
      <w:pPr>
        <w:pStyle w:val="Brdtext"/>
        <w:rPr>
          <w:rFonts w:ascii="Times New Roman" w:hAnsi="Times New Roman"/>
          <w:b/>
          <w:bCs/>
          <w:sz w:val="24"/>
        </w:rPr>
      </w:pPr>
      <w:r>
        <w:rPr>
          <w:rFonts w:ascii="Times New Roman" w:hAnsi="Times New Roman"/>
          <w:b/>
          <w:bCs/>
          <w:sz w:val="24"/>
        </w:rPr>
        <w:t>Värdering av tillgångar och skulder inklusive försäkringstekniska avsättningar</w:t>
      </w:r>
    </w:p>
    <w:p w14:paraId="71A58E13" w14:textId="77777777" w:rsidR="0065081B" w:rsidRDefault="0065081B" w:rsidP="0065081B">
      <w:pPr>
        <w:rPr>
          <w:sz w:val="22"/>
          <w:szCs w:val="22"/>
        </w:rPr>
      </w:pPr>
      <w:r>
        <w:rPr>
          <w:sz w:val="22"/>
        </w:rPr>
        <w:t>I det stora hela ligger förslaget som återges i kapital 5 Värdering av tillgångar och skulder inklusive försäkringstekniska avsättningar i Försäkringsrörelselagen i linje med EU direktivet. Aktuarieföreningen anser dock att det finns vissa delar som bör förtydligas för att ge en större klarhet och förhindra eventuella missförstånd, se nedan för mer detaljer.</w:t>
      </w:r>
    </w:p>
    <w:p w14:paraId="774853E7" w14:textId="77777777" w:rsidR="0065081B" w:rsidRDefault="0065081B" w:rsidP="0065081B">
      <w:pPr>
        <w:rPr>
          <w:sz w:val="22"/>
          <w:szCs w:val="22"/>
        </w:rPr>
      </w:pPr>
    </w:p>
    <w:p w14:paraId="2CC7CAF7" w14:textId="77777777" w:rsidR="0065081B" w:rsidRDefault="0065081B" w:rsidP="0065081B">
      <w:pPr>
        <w:rPr>
          <w:sz w:val="22"/>
          <w:szCs w:val="22"/>
        </w:rPr>
      </w:pPr>
      <w:r>
        <w:rPr>
          <w:sz w:val="22"/>
          <w:szCs w:val="22"/>
        </w:rPr>
        <w:t xml:space="preserve">Vidare vill Aktuarieföreningen betona vikten av att bestämmelser kring värdering av försäkringstekniska avsättningar som idag återfinns i 5 kap 1-9 </w:t>
      </w:r>
      <w:proofErr w:type="gramStart"/>
      <w:r>
        <w:rPr>
          <w:sz w:val="22"/>
          <w:szCs w:val="22"/>
        </w:rPr>
        <w:t>§§</w:t>
      </w:r>
      <w:proofErr w:type="gramEnd"/>
      <w:r>
        <w:rPr>
          <w:sz w:val="22"/>
          <w:szCs w:val="22"/>
        </w:rPr>
        <w:t xml:space="preserve"> i FRL behöver flyttas till </w:t>
      </w:r>
      <w:r>
        <w:rPr>
          <w:i/>
          <w:sz w:val="22"/>
          <w:szCs w:val="22"/>
        </w:rPr>
        <w:t>föreskriften om årsredovisning i försäkringsföretag</w:t>
      </w:r>
      <w:r>
        <w:rPr>
          <w:sz w:val="22"/>
          <w:szCs w:val="22"/>
        </w:rPr>
        <w:t xml:space="preserve">. Utredningen kommenterar detta, men under avsnitt 18 (Reglering för mindre försäkringsföretag) snarare än under avsnitt 7 (Värdering av tillgångar och skulder inklusive försäkringstekniska avsättningar). Denna förändring bör implementeras samtidigt med införandet av förslaget till ny FRL, annars kan det uppstå en situation där det saknas ett regulativt krav kring värdering av försäkringstekniska avsättningarna, innan ny internationell redovisningspraxis kring värdering av försäkringskontrakt (IFRS 4 fas 2) är fastställd. </w:t>
      </w:r>
    </w:p>
    <w:p w14:paraId="07C23DED" w14:textId="77777777" w:rsidR="0065081B" w:rsidRDefault="0065081B" w:rsidP="0065081B">
      <w:pPr>
        <w:rPr>
          <w:sz w:val="22"/>
        </w:rPr>
      </w:pPr>
    </w:p>
    <w:p w14:paraId="41CE588E" w14:textId="77777777" w:rsidR="0065081B" w:rsidRDefault="0065081B" w:rsidP="0065081B">
      <w:pPr>
        <w:rPr>
          <w:sz w:val="22"/>
        </w:rPr>
      </w:pPr>
    </w:p>
    <w:p w14:paraId="242826EA" w14:textId="77777777" w:rsidR="0065081B" w:rsidRDefault="0065081B" w:rsidP="0065081B">
      <w:pPr>
        <w:rPr>
          <w:sz w:val="22"/>
        </w:rPr>
      </w:pPr>
      <w:r>
        <w:rPr>
          <w:sz w:val="22"/>
        </w:rPr>
        <w:t>2 § - En ändring bör göras från '</w:t>
      </w:r>
      <w:proofErr w:type="gramStart"/>
      <w:r>
        <w:rPr>
          <w:sz w:val="22"/>
        </w:rPr>
        <w:t>...ett</w:t>
      </w:r>
      <w:proofErr w:type="gramEnd"/>
      <w:r>
        <w:rPr>
          <w:sz w:val="22"/>
        </w:rPr>
        <w:t xml:space="preserve"> annat försäkringsföretag' till '... en annan motpart'. EU-direktivet anger inte att det rör sig om en överföring till ett annat försäkringsföretag, utan till en annan oberoende intressent.  Någon reell implikation bör inte en sådan ändring ha för värderingen av den försäkringstekniska avsättningen.</w:t>
      </w:r>
    </w:p>
    <w:p w14:paraId="3369A4FE" w14:textId="77777777" w:rsidR="0065081B" w:rsidRDefault="0065081B" w:rsidP="0065081B">
      <w:pPr>
        <w:rPr>
          <w:sz w:val="22"/>
        </w:rPr>
      </w:pPr>
    </w:p>
    <w:p w14:paraId="76EB70C6" w14:textId="77777777" w:rsidR="0065081B" w:rsidRDefault="0065081B" w:rsidP="0065081B">
      <w:pPr>
        <w:rPr>
          <w:sz w:val="22"/>
        </w:rPr>
      </w:pPr>
      <w:r>
        <w:rPr>
          <w:sz w:val="22"/>
        </w:rPr>
        <w:t xml:space="preserve">3 § - Ordet </w:t>
      </w:r>
      <w:r>
        <w:rPr>
          <w:i/>
          <w:sz w:val="22"/>
        </w:rPr>
        <w:t xml:space="preserve">aktsamt </w:t>
      </w:r>
      <w:r>
        <w:rPr>
          <w:sz w:val="22"/>
        </w:rPr>
        <w:t xml:space="preserve">bör ändras till </w:t>
      </w:r>
      <w:r>
        <w:rPr>
          <w:i/>
          <w:iCs/>
          <w:sz w:val="22"/>
        </w:rPr>
        <w:t>förståndigt</w:t>
      </w:r>
      <w:r>
        <w:rPr>
          <w:sz w:val="22"/>
        </w:rPr>
        <w:t xml:space="preserve"> eller liknande.  Översättningen av </w:t>
      </w:r>
      <w:proofErr w:type="spellStart"/>
      <w:r>
        <w:rPr>
          <w:i/>
          <w:sz w:val="22"/>
        </w:rPr>
        <w:t>prudent</w:t>
      </w:r>
      <w:proofErr w:type="spellEnd"/>
      <w:r>
        <w:rPr>
          <w:sz w:val="22"/>
        </w:rPr>
        <w:t xml:space="preserve"> till </w:t>
      </w:r>
      <w:r>
        <w:rPr>
          <w:i/>
          <w:sz w:val="22"/>
        </w:rPr>
        <w:t>aktsamt</w:t>
      </w:r>
      <w:r>
        <w:rPr>
          <w:sz w:val="22"/>
        </w:rPr>
        <w:t xml:space="preserve"> är inte rättvisande och kan missuppfattas som att </w:t>
      </w:r>
      <w:bookmarkStart w:id="1" w:name="OLE_LINK3"/>
      <w:r>
        <w:rPr>
          <w:sz w:val="22"/>
        </w:rPr>
        <w:t xml:space="preserve">de försäkringstekniska avsättningarna </w:t>
      </w:r>
      <w:bookmarkEnd w:id="1"/>
      <w:r>
        <w:rPr>
          <w:sz w:val="22"/>
        </w:rPr>
        <w:t xml:space="preserve">bör innehålla en säkerhetsmarginal.  Direktivet är tydligt med att de försäkringstekniska avsättningarna inte ska innehålla någon sådan marginal utan att värdet ska reflektera ett marknadsvärde (jämför t.ex. art 75).  Riskmarginalen ska snarare ses som en "marknadsvärdesmarginal" vilket representerar det tillägg som tillsammans med bästa skattning utgör det värde som en motsvarande part är villig att "betala" för att ta över skulden. </w:t>
      </w:r>
    </w:p>
    <w:p w14:paraId="4152473A" w14:textId="77777777" w:rsidR="0065081B" w:rsidRDefault="0065081B" w:rsidP="0065081B">
      <w:pPr>
        <w:rPr>
          <w:sz w:val="22"/>
        </w:rPr>
      </w:pPr>
    </w:p>
    <w:p w14:paraId="0C835A1C" w14:textId="77777777" w:rsidR="0065081B" w:rsidRDefault="0065081B" w:rsidP="0065081B">
      <w:pPr>
        <w:rPr>
          <w:sz w:val="22"/>
        </w:rPr>
      </w:pPr>
      <w:r>
        <w:rPr>
          <w:sz w:val="22"/>
        </w:rPr>
        <w:t>5 § - Ett tillägg bör göras i slutet av första meningen, '</w:t>
      </w:r>
      <w:proofErr w:type="gramStart"/>
      <w:r>
        <w:rPr>
          <w:sz w:val="22"/>
        </w:rPr>
        <w:t>..</w:t>
      </w:r>
      <w:proofErr w:type="gramEnd"/>
      <w:r>
        <w:rPr>
          <w:sz w:val="22"/>
        </w:rPr>
        <w:t xml:space="preserve">  motsvarande </w:t>
      </w:r>
      <w:r>
        <w:rPr>
          <w:sz w:val="22"/>
          <w:u w:val="single"/>
        </w:rPr>
        <w:t>det förväntade</w:t>
      </w:r>
      <w:r>
        <w:rPr>
          <w:sz w:val="22"/>
        </w:rPr>
        <w:t xml:space="preserve"> nuvärdet av dessa framtida kassaflöden'.  Aktuarieföreningens </w:t>
      </w:r>
      <w:proofErr w:type="gramStart"/>
      <w:r>
        <w:rPr>
          <w:sz w:val="22"/>
        </w:rPr>
        <w:t>tolkning  är</w:t>
      </w:r>
      <w:proofErr w:type="gramEnd"/>
      <w:r>
        <w:rPr>
          <w:sz w:val="22"/>
        </w:rPr>
        <w:t xml:space="preserve"> att med bästa skattningen i direktivet avses inte </w:t>
      </w:r>
      <w:r>
        <w:rPr>
          <w:i/>
          <w:sz w:val="22"/>
        </w:rPr>
        <w:t>nuvärdet av de förväntade framtida kassaflödena</w:t>
      </w:r>
      <w:r>
        <w:rPr>
          <w:sz w:val="22"/>
        </w:rPr>
        <w:t xml:space="preserve"> utan </w:t>
      </w:r>
      <w:r>
        <w:rPr>
          <w:i/>
          <w:sz w:val="22"/>
        </w:rPr>
        <w:t>det förväntade nuvärdet av de framtida kassaflödena</w:t>
      </w:r>
      <w:r>
        <w:rPr>
          <w:sz w:val="22"/>
        </w:rPr>
        <w:t xml:space="preserve">, vilket matematiskt kan ge upphov till olika värden. </w:t>
      </w:r>
    </w:p>
    <w:p w14:paraId="26249613" w14:textId="77777777" w:rsidR="0065081B" w:rsidRDefault="0065081B" w:rsidP="0065081B">
      <w:pPr>
        <w:rPr>
          <w:sz w:val="22"/>
        </w:rPr>
      </w:pPr>
    </w:p>
    <w:p w14:paraId="649E2FB1" w14:textId="77777777" w:rsidR="0065081B" w:rsidRDefault="0065081B" w:rsidP="0065081B">
      <w:pPr>
        <w:rPr>
          <w:sz w:val="22"/>
        </w:rPr>
      </w:pPr>
      <w:r>
        <w:rPr>
          <w:sz w:val="22"/>
        </w:rPr>
        <w:t>Den sista meningen bör vara i linje med det som anges i 10 § sista meningen d.v.s. att 'Den bästa skattningen ska bygga på realistiska antaganden och bygga på aktuell eller trovärdig information, och</w:t>
      </w:r>
      <w:proofErr w:type="gramStart"/>
      <w:r>
        <w:rPr>
          <w:sz w:val="22"/>
        </w:rPr>
        <w:t>...'</w:t>
      </w:r>
      <w:proofErr w:type="gramEnd"/>
    </w:p>
    <w:p w14:paraId="23987C82" w14:textId="77777777" w:rsidR="0065081B" w:rsidRDefault="0065081B" w:rsidP="0065081B">
      <w:pPr>
        <w:rPr>
          <w:sz w:val="22"/>
        </w:rPr>
      </w:pPr>
    </w:p>
    <w:p w14:paraId="2BED4D96" w14:textId="77777777" w:rsidR="0065081B" w:rsidRDefault="0065081B" w:rsidP="0065081B">
      <w:pPr>
        <w:rPr>
          <w:sz w:val="22"/>
        </w:rPr>
      </w:pPr>
      <w:r>
        <w:rPr>
          <w:sz w:val="22"/>
        </w:rPr>
        <w:t>6 § - På motsvarande sätt som under 2 § så bör '</w:t>
      </w:r>
      <w:proofErr w:type="gramStart"/>
      <w:r>
        <w:rPr>
          <w:sz w:val="22"/>
        </w:rPr>
        <w:t>..</w:t>
      </w:r>
      <w:proofErr w:type="gramEnd"/>
      <w:r>
        <w:rPr>
          <w:sz w:val="22"/>
        </w:rPr>
        <w:t xml:space="preserve"> ett försäkringsföretag ..' bytas till '.. en oberoende kunnig motpart...'.</w:t>
      </w:r>
    </w:p>
    <w:p w14:paraId="49C63C79" w14:textId="77777777" w:rsidR="0065081B" w:rsidRDefault="0065081B" w:rsidP="0065081B">
      <w:pPr>
        <w:rPr>
          <w:sz w:val="22"/>
        </w:rPr>
      </w:pPr>
    </w:p>
    <w:p w14:paraId="550AC4A6" w14:textId="77777777" w:rsidR="0065081B" w:rsidRDefault="0065081B" w:rsidP="0065081B">
      <w:pPr>
        <w:rPr>
          <w:sz w:val="22"/>
        </w:rPr>
      </w:pPr>
      <w:r>
        <w:rPr>
          <w:sz w:val="22"/>
        </w:rPr>
        <w:t>13 § - Ordet skattning</w:t>
      </w:r>
      <w:r>
        <w:rPr>
          <w:sz w:val="22"/>
          <w:u w:val="single"/>
        </w:rPr>
        <w:t>ar</w:t>
      </w:r>
      <w:r>
        <w:rPr>
          <w:sz w:val="22"/>
        </w:rPr>
        <w:t xml:space="preserve"> bör ändras till skattning</w:t>
      </w:r>
      <w:r>
        <w:rPr>
          <w:sz w:val="22"/>
          <w:u w:val="single"/>
        </w:rPr>
        <w:t>en</w:t>
      </w:r>
      <w:r>
        <w:rPr>
          <w:sz w:val="22"/>
        </w:rPr>
        <w:t>, då det endast bör finnas en bästa skattning.</w:t>
      </w:r>
    </w:p>
    <w:p w14:paraId="1926F437" w14:textId="77777777" w:rsidR="0065081B" w:rsidRDefault="0065081B" w:rsidP="0065081B">
      <w:pPr>
        <w:rPr>
          <w:sz w:val="22"/>
        </w:rPr>
      </w:pPr>
    </w:p>
    <w:p w14:paraId="0673A8A4" w14:textId="77777777" w:rsidR="0065081B" w:rsidRDefault="0065081B" w:rsidP="0065081B">
      <w:pPr>
        <w:rPr>
          <w:sz w:val="22"/>
        </w:rPr>
      </w:pPr>
      <w:r>
        <w:rPr>
          <w:sz w:val="22"/>
        </w:rPr>
        <w:t>15 § - Paragrafen känns inte relevant under detta kapitel då det inte har något med värdering att göra.</w:t>
      </w:r>
    </w:p>
    <w:p w14:paraId="1E195A12" w14:textId="77777777" w:rsidR="0065081B" w:rsidRDefault="0065081B" w:rsidP="0065081B">
      <w:pPr>
        <w:rPr>
          <w:sz w:val="22"/>
        </w:rPr>
      </w:pPr>
    </w:p>
    <w:p w14:paraId="4DA12ABF" w14:textId="77777777" w:rsidR="0065081B" w:rsidRDefault="0065081B" w:rsidP="0065081B">
      <w:pPr>
        <w:rPr>
          <w:sz w:val="22"/>
        </w:rPr>
      </w:pPr>
      <w:r>
        <w:rPr>
          <w:sz w:val="22"/>
        </w:rPr>
        <w:t>16 § - Paragrafen känns inte relevant under detta kapitel då det inte har något med värdering att göra.</w:t>
      </w:r>
    </w:p>
    <w:p w14:paraId="3AF1C2CB" w14:textId="77777777" w:rsidR="0065081B" w:rsidRDefault="0065081B" w:rsidP="0065081B">
      <w:pPr>
        <w:rPr>
          <w:sz w:val="22"/>
        </w:rPr>
      </w:pPr>
    </w:p>
    <w:p w14:paraId="27CE63A0" w14:textId="77777777" w:rsidR="0065081B" w:rsidRDefault="0065081B" w:rsidP="0065081B">
      <w:pPr>
        <w:pStyle w:val="Rubrik1"/>
        <w:rPr>
          <w:bCs w:val="0"/>
        </w:rPr>
      </w:pPr>
    </w:p>
    <w:p w14:paraId="33D0B05E" w14:textId="77777777" w:rsidR="0065081B" w:rsidRDefault="0065081B" w:rsidP="0065081B">
      <w:pPr>
        <w:pStyle w:val="Rubrik1"/>
        <w:rPr>
          <w:bCs w:val="0"/>
        </w:rPr>
      </w:pPr>
    </w:p>
    <w:p w14:paraId="680AC550" w14:textId="77777777" w:rsidR="0065081B" w:rsidRDefault="0065081B" w:rsidP="0065081B">
      <w:pPr>
        <w:pStyle w:val="Rubrik1"/>
        <w:rPr>
          <w:bCs w:val="0"/>
        </w:rPr>
      </w:pPr>
    </w:p>
    <w:p w14:paraId="40C8BB5C" w14:textId="77777777" w:rsidR="0065081B" w:rsidRDefault="0065081B" w:rsidP="0065081B">
      <w:pPr>
        <w:pStyle w:val="Rubrik1"/>
        <w:rPr>
          <w:bCs w:val="0"/>
        </w:rPr>
      </w:pPr>
    </w:p>
    <w:p w14:paraId="68E8265E" w14:textId="77777777" w:rsidR="0065081B" w:rsidRDefault="0065081B" w:rsidP="0065081B">
      <w:pPr>
        <w:pStyle w:val="Rubrik1"/>
        <w:rPr>
          <w:bCs w:val="0"/>
        </w:rPr>
      </w:pPr>
      <w:r>
        <w:rPr>
          <w:bCs w:val="0"/>
        </w:rPr>
        <w:t>Om Svenska Aktuarieföreningen</w:t>
      </w:r>
    </w:p>
    <w:p w14:paraId="2D14D837" w14:textId="77777777" w:rsidR="0065081B" w:rsidRDefault="0065081B" w:rsidP="0065081B">
      <w:pPr>
        <w:tabs>
          <w:tab w:val="left" w:pos="6521"/>
          <w:tab w:val="left" w:pos="6946"/>
        </w:tabs>
        <w:ind w:right="56"/>
        <w:rPr>
          <w:sz w:val="22"/>
        </w:rPr>
      </w:pPr>
      <w:r>
        <w:rPr>
          <w:sz w:val="22"/>
        </w:rPr>
        <w:t xml:space="preserve">Svenska Aktuarieföreningen utgör en sammanslutning av personer, som utövar </w:t>
      </w:r>
      <w:proofErr w:type="spellStart"/>
      <w:r>
        <w:rPr>
          <w:sz w:val="22"/>
        </w:rPr>
        <w:t>aktuariell</w:t>
      </w:r>
      <w:proofErr w:type="spellEnd"/>
      <w:r>
        <w:rPr>
          <w:sz w:val="22"/>
        </w:rPr>
        <w:t xml:space="preserve"> verksamhet i Sverige eller </w:t>
      </w:r>
      <w:proofErr w:type="gramStart"/>
      <w:r>
        <w:rPr>
          <w:sz w:val="22"/>
        </w:rPr>
        <w:t>eljest</w:t>
      </w:r>
      <w:proofErr w:type="gramEnd"/>
      <w:r>
        <w:rPr>
          <w:sz w:val="22"/>
        </w:rPr>
        <w:t xml:space="preserve"> har intresse för sådan verksamhet eller därmed besläktad vetenskaplig forskning. Föreningens ä</w:t>
      </w:r>
      <w:r>
        <w:rPr>
          <w:sz w:val="22"/>
        </w:rPr>
        <w:t>n</w:t>
      </w:r>
      <w:r>
        <w:rPr>
          <w:sz w:val="22"/>
        </w:rPr>
        <w:t>damål är bland annat att främja aktuarievetenskapen, att främja god utbildning och vidareutbildning av aktuarier samt att avge yttranden om ämnen inom föreningens intress</w:t>
      </w:r>
      <w:r>
        <w:rPr>
          <w:sz w:val="22"/>
        </w:rPr>
        <w:t>e</w:t>
      </w:r>
      <w:r>
        <w:rPr>
          <w:sz w:val="22"/>
        </w:rPr>
        <w:t>områden.</w:t>
      </w:r>
    </w:p>
    <w:p w14:paraId="13B77752" w14:textId="77777777" w:rsidR="0065081B" w:rsidRDefault="0065081B" w:rsidP="0065081B">
      <w:pPr>
        <w:tabs>
          <w:tab w:val="left" w:pos="6521"/>
          <w:tab w:val="left" w:pos="6946"/>
        </w:tabs>
        <w:ind w:right="56"/>
        <w:rPr>
          <w:sz w:val="22"/>
        </w:rPr>
      </w:pPr>
    </w:p>
    <w:p w14:paraId="00694741" w14:textId="77777777" w:rsidR="0065081B" w:rsidRDefault="0065081B" w:rsidP="0065081B">
      <w:pPr>
        <w:rPr>
          <w:sz w:val="22"/>
        </w:rPr>
      </w:pPr>
      <w:r>
        <w:rPr>
          <w:sz w:val="22"/>
        </w:rPr>
        <w:t>För Svenska Aktuarieföreningen</w:t>
      </w:r>
    </w:p>
    <w:p w14:paraId="61DF4082" w14:textId="77777777" w:rsidR="0065081B" w:rsidRDefault="0065081B" w:rsidP="0065081B">
      <w:pPr>
        <w:rPr>
          <w:sz w:val="22"/>
        </w:rPr>
      </w:pPr>
    </w:p>
    <w:p w14:paraId="4CBAA866" w14:textId="77777777" w:rsidR="0065081B" w:rsidRDefault="0065081B" w:rsidP="0065081B">
      <w:pPr>
        <w:rPr>
          <w:sz w:val="22"/>
        </w:rPr>
      </w:pPr>
    </w:p>
    <w:p w14:paraId="2FDB2BDE" w14:textId="77777777" w:rsidR="0065081B" w:rsidRDefault="0065081B" w:rsidP="0065081B">
      <w:pPr>
        <w:rPr>
          <w:sz w:val="22"/>
        </w:rPr>
      </w:pPr>
      <w:r>
        <w:rPr>
          <w:sz w:val="22"/>
        </w:rPr>
        <w:t xml:space="preserve">Carola </w:t>
      </w:r>
      <w:proofErr w:type="spellStart"/>
      <w:r>
        <w:rPr>
          <w:sz w:val="22"/>
        </w:rPr>
        <w:t>Fornelid</w:t>
      </w:r>
      <w:proofErr w:type="spellEnd"/>
    </w:p>
    <w:p w14:paraId="062EC330" w14:textId="77777777" w:rsidR="0065081B" w:rsidRDefault="0065081B" w:rsidP="0065081B">
      <w:pPr>
        <w:rPr>
          <w:iCs/>
        </w:rPr>
      </w:pPr>
      <w:r>
        <w:rPr>
          <w:iCs/>
          <w:sz w:val="22"/>
        </w:rPr>
        <w:t>ordförande</w:t>
      </w:r>
      <w:r>
        <w:rPr>
          <w:iCs/>
          <w:sz w:val="22"/>
        </w:rPr>
        <w:tab/>
      </w:r>
      <w:r>
        <w:rPr>
          <w:iCs/>
        </w:rPr>
        <w:tab/>
      </w:r>
      <w:r>
        <w:rPr>
          <w:iCs/>
        </w:rPr>
        <w:tab/>
      </w:r>
      <w:r>
        <w:rPr>
          <w:iCs/>
        </w:rPr>
        <w:tab/>
      </w:r>
    </w:p>
    <w:p w14:paraId="4B02AC41" w14:textId="77777777" w:rsidR="0065081B" w:rsidRDefault="0065081B" w:rsidP="0065081B">
      <w:pPr>
        <w:tabs>
          <w:tab w:val="left" w:pos="4253"/>
          <w:tab w:val="left" w:pos="7088"/>
          <w:tab w:val="left" w:pos="7230"/>
          <w:tab w:val="left" w:pos="9639"/>
        </w:tabs>
        <w:jc w:val="both"/>
      </w:pPr>
    </w:p>
    <w:p w14:paraId="40970CB6" w14:textId="77777777" w:rsidR="0065081B" w:rsidRDefault="0065081B" w:rsidP="0065081B"/>
    <w:p w14:paraId="1C56AE05" w14:textId="77777777" w:rsidR="00740E70" w:rsidRDefault="00740E70"/>
    <w:sectPr w:rsidR="00740E70" w:rsidSect="00F7170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DABF2E" w14:textId="77777777" w:rsidR="007D178C" w:rsidRDefault="007D178C">
      <w:r>
        <w:separator/>
      </w:r>
    </w:p>
  </w:endnote>
  <w:endnote w:type="continuationSeparator" w:id="0">
    <w:p w14:paraId="61397069" w14:textId="77777777" w:rsidR="007D178C" w:rsidRDefault="007D1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GNNBJM+TimesNewRoman">
    <w:altName w:val="Times New Roman"/>
    <w:panose1 w:val="00000000000000000000"/>
    <w:charset w:val="00"/>
    <w:family w:val="roman"/>
    <w:notTrueType/>
    <w:pitch w:val="default"/>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24ABD" w14:textId="537CA3A6" w:rsidR="007D178C" w:rsidRDefault="007D178C">
    <w:pPr>
      <w:pStyle w:val="Sidfot"/>
      <w:pBdr>
        <w:top w:val="single" w:sz="6" w:space="1" w:color="auto"/>
      </w:pBdr>
      <w:rPr>
        <w:sz w:val="16"/>
        <w:szCs w:val="16"/>
      </w:rPr>
    </w:pPr>
    <w:r>
      <w:rPr>
        <w:sz w:val="16"/>
        <w:szCs w:val="16"/>
      </w:rPr>
      <w:t>Svenska Aktuarieföreningen</w:t>
    </w:r>
  </w:p>
  <w:p w14:paraId="648A30D0" w14:textId="77777777" w:rsidR="007D178C" w:rsidRDefault="007D178C">
    <w:pPr>
      <w:pStyle w:val="Sidfot"/>
      <w:pBdr>
        <w:top w:val="single" w:sz="6" w:space="1" w:color="auto"/>
      </w:pBdr>
      <w:rPr>
        <w:sz w:val="16"/>
        <w:szCs w:val="16"/>
      </w:rPr>
    </w:pPr>
    <w:r>
      <w:rPr>
        <w:sz w:val="16"/>
        <w:szCs w:val="16"/>
      </w:rPr>
      <w:t xml:space="preserve">Telefon: 073-500 46 00 </w:t>
    </w:r>
  </w:p>
  <w:p w14:paraId="247F9B04" w14:textId="77777777" w:rsidR="007D178C" w:rsidRDefault="007D178C">
    <w:pPr>
      <w:autoSpaceDE w:val="0"/>
      <w:autoSpaceDN w:val="0"/>
      <w:adjustRightInd w:val="0"/>
      <w:spacing w:line="240" w:lineRule="atLeast"/>
      <w:rPr>
        <w:sz w:val="16"/>
        <w:szCs w:val="16"/>
      </w:rPr>
    </w:pPr>
    <w:r>
      <w:rPr>
        <w:sz w:val="16"/>
        <w:szCs w:val="16"/>
      </w:rPr>
      <w:t>e-</w:t>
    </w:r>
    <w:proofErr w:type="gramStart"/>
    <w:r>
      <w:rPr>
        <w:sz w:val="16"/>
        <w:szCs w:val="16"/>
      </w:rPr>
      <w:t xml:space="preserve">postadress </w:t>
    </w:r>
    <w:r>
      <w:rPr>
        <w:color w:val="000000"/>
        <w:sz w:val="16"/>
        <w:lang w:eastAsia="en-US"/>
      </w:rPr>
      <w:t xml:space="preserve"> </w:t>
    </w:r>
    <w:r>
      <w:rPr>
        <w:color w:val="0000FF"/>
        <w:sz w:val="16"/>
        <w:lang w:eastAsia="en-US"/>
      </w:rPr>
      <w:t>kansli</w:t>
    </w:r>
    <w:proofErr w:type="gramEnd"/>
    <w:r>
      <w:rPr>
        <w:color w:val="0000FF"/>
        <w:sz w:val="16"/>
        <w:lang w:eastAsia="en-US"/>
      </w:rPr>
      <w:t>@aktuarieforeningen.se</w:t>
    </w:r>
  </w:p>
  <w:p w14:paraId="4E6AC12B" w14:textId="77777777" w:rsidR="007D178C" w:rsidRDefault="007D178C">
    <w:pPr>
      <w:pStyle w:val="Sidfo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9F1EBE" w14:textId="77777777" w:rsidR="007D178C" w:rsidRDefault="007D178C">
      <w:r>
        <w:separator/>
      </w:r>
    </w:p>
  </w:footnote>
  <w:footnote w:type="continuationSeparator" w:id="0">
    <w:p w14:paraId="22F21F9C" w14:textId="77777777" w:rsidR="007D178C" w:rsidRDefault="007D178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E2CA8C" w14:textId="77777777" w:rsidR="007D178C" w:rsidRDefault="007D178C">
    <w:pPr>
      <w:pStyle w:val="Sidhuvud"/>
      <w:rPr>
        <w:rStyle w:val="Sidnummer"/>
      </w:rPr>
    </w:pPr>
    <w:r>
      <w:tab/>
    </w:r>
    <w:r>
      <w:tab/>
    </w:r>
    <w:r>
      <w:rPr>
        <w:rStyle w:val="Sidnummer"/>
      </w:rPr>
      <w:fldChar w:fldCharType="begin"/>
    </w:r>
    <w:r>
      <w:rPr>
        <w:rStyle w:val="Sidnummer"/>
      </w:rPr>
      <w:instrText xml:space="preserve"> PAGE </w:instrText>
    </w:r>
    <w:r>
      <w:rPr>
        <w:rStyle w:val="Sidnummer"/>
      </w:rPr>
      <w:fldChar w:fldCharType="separate"/>
    </w:r>
    <w:r w:rsidR="006A0D3C">
      <w:rPr>
        <w:rStyle w:val="Sidnummer"/>
        <w:noProof/>
      </w:rPr>
      <w:t>2</w:t>
    </w:r>
    <w:r>
      <w:rPr>
        <w:rStyle w:val="Sidnummer"/>
      </w:rPr>
      <w:fldChar w:fldCharType="end"/>
    </w:r>
    <w:r>
      <w:rPr>
        <w:rStyle w:val="Sidnummer"/>
      </w:rPr>
      <w:t>(</w:t>
    </w:r>
    <w:r>
      <w:rPr>
        <w:rStyle w:val="Sidnummer"/>
      </w:rPr>
      <w:fldChar w:fldCharType="begin"/>
    </w:r>
    <w:r>
      <w:rPr>
        <w:rStyle w:val="Sidnummer"/>
      </w:rPr>
      <w:instrText xml:space="preserve"> NUMPAGES </w:instrText>
    </w:r>
    <w:r>
      <w:rPr>
        <w:rStyle w:val="Sidnummer"/>
      </w:rPr>
      <w:fldChar w:fldCharType="separate"/>
    </w:r>
    <w:r w:rsidR="006A0D3C">
      <w:rPr>
        <w:rStyle w:val="Sidnummer"/>
        <w:noProof/>
      </w:rPr>
      <w:t>4</w:t>
    </w:r>
    <w:r>
      <w:rPr>
        <w:rStyle w:val="Sidnummer"/>
      </w:rPr>
      <w:fldChar w:fldCharType="end"/>
    </w:r>
    <w:r>
      <w:rPr>
        <w:rStyle w:val="Sidnummer"/>
      </w:rPr>
      <w:t>)</w:t>
    </w:r>
    <w:r>
      <w:rPr>
        <w:rStyle w:val="Sidnummer"/>
      </w:rPr>
      <w:tab/>
    </w:r>
  </w:p>
  <w:p w14:paraId="51811056" w14:textId="77777777" w:rsidR="007D178C" w:rsidRDefault="007D178C">
    <w:pPr>
      <w:pStyle w:val="Sidhuvud"/>
    </w:pPr>
    <w:r>
      <w:rPr>
        <w:rStyle w:val="Sidnummer"/>
      </w:rPr>
      <w:tab/>
    </w:r>
    <w:r>
      <w:rPr>
        <w:rStyle w:val="Sidnummer"/>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3F4"/>
    <w:rsid w:val="000113F4"/>
    <w:rsid w:val="00114D8D"/>
    <w:rsid w:val="001154A8"/>
    <w:rsid w:val="001224B4"/>
    <w:rsid w:val="00122C9D"/>
    <w:rsid w:val="00154CAC"/>
    <w:rsid w:val="001A4DAA"/>
    <w:rsid w:val="00227931"/>
    <w:rsid w:val="002D40F5"/>
    <w:rsid w:val="003D6082"/>
    <w:rsid w:val="00464B89"/>
    <w:rsid w:val="004A19FC"/>
    <w:rsid w:val="005C207F"/>
    <w:rsid w:val="0065081B"/>
    <w:rsid w:val="006636EF"/>
    <w:rsid w:val="006665EC"/>
    <w:rsid w:val="006A0D3C"/>
    <w:rsid w:val="00712433"/>
    <w:rsid w:val="00740E70"/>
    <w:rsid w:val="0079314E"/>
    <w:rsid w:val="007C1E53"/>
    <w:rsid w:val="007C26CE"/>
    <w:rsid w:val="007D178C"/>
    <w:rsid w:val="00836B1F"/>
    <w:rsid w:val="00863440"/>
    <w:rsid w:val="00886E60"/>
    <w:rsid w:val="008B1BE4"/>
    <w:rsid w:val="00930D98"/>
    <w:rsid w:val="009E361C"/>
    <w:rsid w:val="00A5533A"/>
    <w:rsid w:val="00AD18E4"/>
    <w:rsid w:val="00B86CA8"/>
    <w:rsid w:val="00BC41AA"/>
    <w:rsid w:val="00C14F02"/>
    <w:rsid w:val="00C40A34"/>
    <w:rsid w:val="00CC53D3"/>
    <w:rsid w:val="00CD4C41"/>
    <w:rsid w:val="00F71705"/>
    <w:rsid w:val="00F776DA"/>
    <w:rsid w:val="00FB187B"/>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D223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26CE"/>
    <w:rPr>
      <w:sz w:val="24"/>
      <w:szCs w:val="24"/>
    </w:rPr>
  </w:style>
  <w:style w:type="paragraph" w:styleId="Rubrik1">
    <w:name w:val="heading 1"/>
    <w:basedOn w:val="Normal"/>
    <w:next w:val="Normal"/>
    <w:qFormat/>
    <w:rsid w:val="007C26CE"/>
    <w:pPr>
      <w:keepNext/>
      <w:outlineLvl w:val="0"/>
    </w:pPr>
    <w:rPr>
      <w:b/>
      <w:bCs/>
      <w:i/>
      <w:iCs/>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7C26CE"/>
    <w:pPr>
      <w:tabs>
        <w:tab w:val="center" w:pos="4536"/>
        <w:tab w:val="right" w:pos="9072"/>
      </w:tabs>
    </w:pPr>
  </w:style>
  <w:style w:type="paragraph" w:styleId="Sidfot">
    <w:name w:val="footer"/>
    <w:basedOn w:val="Normal"/>
    <w:rsid w:val="007C26CE"/>
    <w:pPr>
      <w:tabs>
        <w:tab w:val="center" w:pos="4536"/>
        <w:tab w:val="right" w:pos="9072"/>
      </w:tabs>
    </w:pPr>
  </w:style>
  <w:style w:type="character" w:styleId="Sidnummer">
    <w:name w:val="page number"/>
    <w:basedOn w:val="Standardstycketypsnitt"/>
    <w:rsid w:val="007C26CE"/>
  </w:style>
  <w:style w:type="paragraph" w:customStyle="1" w:styleId="Text">
    <w:name w:val="Text"/>
    <w:basedOn w:val="Normal"/>
    <w:next w:val="Normal"/>
    <w:rsid w:val="007C26CE"/>
    <w:pPr>
      <w:autoSpaceDE w:val="0"/>
      <w:autoSpaceDN w:val="0"/>
      <w:adjustRightInd w:val="0"/>
    </w:pPr>
    <w:rPr>
      <w:rFonts w:ascii="GNNBJM+TimesNewRoman" w:hAnsi="GNNBJM+TimesNewRoman"/>
    </w:rPr>
  </w:style>
  <w:style w:type="paragraph" w:styleId="Bubbeltext">
    <w:name w:val="Balloon Text"/>
    <w:basedOn w:val="Normal"/>
    <w:link w:val="BubbeltextChar"/>
    <w:rsid w:val="00930D98"/>
    <w:rPr>
      <w:rFonts w:ascii="Lucida Grande" w:hAnsi="Lucida Grande"/>
      <w:sz w:val="18"/>
      <w:szCs w:val="18"/>
    </w:rPr>
  </w:style>
  <w:style w:type="character" w:customStyle="1" w:styleId="BubbeltextChar">
    <w:name w:val="Bubbeltext Char"/>
    <w:basedOn w:val="Standardstycketypsnitt"/>
    <w:link w:val="Bubbeltext"/>
    <w:rsid w:val="00930D98"/>
    <w:rPr>
      <w:rFonts w:ascii="Lucida Grande" w:hAnsi="Lucida Grande"/>
      <w:sz w:val="18"/>
      <w:szCs w:val="18"/>
    </w:rPr>
  </w:style>
  <w:style w:type="paragraph" w:styleId="Brdtext">
    <w:name w:val="Body Text"/>
    <w:basedOn w:val="Normal"/>
    <w:link w:val="BrdtextChar"/>
    <w:rsid w:val="0065081B"/>
    <w:pPr>
      <w:spacing w:after="240" w:line="240" w:lineRule="atLeast"/>
    </w:pPr>
    <w:rPr>
      <w:rFonts w:ascii="Arial" w:hAnsi="Arial"/>
      <w:noProof/>
      <w:color w:val="000000"/>
      <w:sz w:val="21"/>
      <w:szCs w:val="21"/>
    </w:rPr>
  </w:style>
  <w:style w:type="character" w:customStyle="1" w:styleId="BrdtextChar">
    <w:name w:val="Brödtext Char"/>
    <w:basedOn w:val="Standardstycketypsnitt"/>
    <w:link w:val="Brdtext"/>
    <w:rsid w:val="0065081B"/>
    <w:rPr>
      <w:rFonts w:ascii="Arial" w:hAnsi="Arial"/>
      <w:noProof/>
      <w:color w:val="000000"/>
      <w:sz w:val="21"/>
      <w:szCs w:val="2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26CE"/>
    <w:rPr>
      <w:sz w:val="24"/>
      <w:szCs w:val="24"/>
    </w:rPr>
  </w:style>
  <w:style w:type="paragraph" w:styleId="Rubrik1">
    <w:name w:val="heading 1"/>
    <w:basedOn w:val="Normal"/>
    <w:next w:val="Normal"/>
    <w:qFormat/>
    <w:rsid w:val="007C26CE"/>
    <w:pPr>
      <w:keepNext/>
      <w:outlineLvl w:val="0"/>
    </w:pPr>
    <w:rPr>
      <w:b/>
      <w:bCs/>
      <w:i/>
      <w:iCs/>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7C26CE"/>
    <w:pPr>
      <w:tabs>
        <w:tab w:val="center" w:pos="4536"/>
        <w:tab w:val="right" w:pos="9072"/>
      </w:tabs>
    </w:pPr>
  </w:style>
  <w:style w:type="paragraph" w:styleId="Sidfot">
    <w:name w:val="footer"/>
    <w:basedOn w:val="Normal"/>
    <w:rsid w:val="007C26CE"/>
    <w:pPr>
      <w:tabs>
        <w:tab w:val="center" w:pos="4536"/>
        <w:tab w:val="right" w:pos="9072"/>
      </w:tabs>
    </w:pPr>
  </w:style>
  <w:style w:type="character" w:styleId="Sidnummer">
    <w:name w:val="page number"/>
    <w:basedOn w:val="Standardstycketypsnitt"/>
    <w:rsid w:val="007C26CE"/>
  </w:style>
  <w:style w:type="paragraph" w:customStyle="1" w:styleId="Text">
    <w:name w:val="Text"/>
    <w:basedOn w:val="Normal"/>
    <w:next w:val="Normal"/>
    <w:rsid w:val="007C26CE"/>
    <w:pPr>
      <w:autoSpaceDE w:val="0"/>
      <w:autoSpaceDN w:val="0"/>
      <w:adjustRightInd w:val="0"/>
    </w:pPr>
    <w:rPr>
      <w:rFonts w:ascii="GNNBJM+TimesNewRoman" w:hAnsi="GNNBJM+TimesNewRoman"/>
    </w:rPr>
  </w:style>
  <w:style w:type="paragraph" w:styleId="Bubbeltext">
    <w:name w:val="Balloon Text"/>
    <w:basedOn w:val="Normal"/>
    <w:link w:val="BubbeltextChar"/>
    <w:rsid w:val="00930D98"/>
    <w:rPr>
      <w:rFonts w:ascii="Lucida Grande" w:hAnsi="Lucida Grande"/>
      <w:sz w:val="18"/>
      <w:szCs w:val="18"/>
    </w:rPr>
  </w:style>
  <w:style w:type="character" w:customStyle="1" w:styleId="BubbeltextChar">
    <w:name w:val="Bubbeltext Char"/>
    <w:basedOn w:val="Standardstycketypsnitt"/>
    <w:link w:val="Bubbeltext"/>
    <w:rsid w:val="00930D98"/>
    <w:rPr>
      <w:rFonts w:ascii="Lucida Grande" w:hAnsi="Lucida Grande"/>
      <w:sz w:val="18"/>
      <w:szCs w:val="18"/>
    </w:rPr>
  </w:style>
  <w:style w:type="paragraph" w:styleId="Brdtext">
    <w:name w:val="Body Text"/>
    <w:basedOn w:val="Normal"/>
    <w:link w:val="BrdtextChar"/>
    <w:rsid w:val="0065081B"/>
    <w:pPr>
      <w:spacing w:after="240" w:line="240" w:lineRule="atLeast"/>
    </w:pPr>
    <w:rPr>
      <w:rFonts w:ascii="Arial" w:hAnsi="Arial"/>
      <w:noProof/>
      <w:color w:val="000000"/>
      <w:sz w:val="21"/>
      <w:szCs w:val="21"/>
    </w:rPr>
  </w:style>
  <w:style w:type="character" w:customStyle="1" w:styleId="BrdtextChar">
    <w:name w:val="Brödtext Char"/>
    <w:basedOn w:val="Standardstycketypsnitt"/>
    <w:link w:val="Brdtext"/>
    <w:rsid w:val="0065081B"/>
    <w:rPr>
      <w:rFonts w:ascii="Arial" w:hAnsi="Arial"/>
      <w:noProof/>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wmf"/><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1586</Words>
  <Characters>8411</Characters>
  <Application>Microsoft Macintosh Word</Application>
  <DocSecurity>0</DocSecurity>
  <Lines>70</Lines>
  <Paragraphs>19</Paragraphs>
  <ScaleCrop>false</ScaleCrop>
  <HeadingPairs>
    <vt:vector size="2" baseType="variant">
      <vt:variant>
        <vt:lpstr>Rubrik</vt:lpstr>
      </vt:variant>
      <vt:variant>
        <vt:i4>1</vt:i4>
      </vt:variant>
    </vt:vector>
  </HeadingPairs>
  <TitlesOfParts>
    <vt:vector size="1" baseType="lpstr">
      <vt:lpstr> </vt:lpstr>
    </vt:vector>
  </TitlesOfParts>
  <Company>Skandinaviska Enskilda Banken</Company>
  <LinksUpToDate>false</LinksUpToDate>
  <CharactersWithSpaces>9978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s71902</dc:creator>
  <cp:keywords/>
  <dc:description/>
  <cp:lastModifiedBy>mac</cp:lastModifiedBy>
  <cp:revision>4</cp:revision>
  <cp:lastPrinted>2012-01-26T12:04:00Z</cp:lastPrinted>
  <dcterms:created xsi:type="dcterms:W3CDTF">2012-01-26T08:35:00Z</dcterms:created>
  <dcterms:modified xsi:type="dcterms:W3CDTF">2012-01-26T12:49:00Z</dcterms:modified>
</cp:coreProperties>
</file>