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AF" w:rsidRDefault="00A357AF" w:rsidP="00A357AF">
      <w:pPr>
        <w:jc w:val="center"/>
        <w:rPr>
          <w:b/>
        </w:rPr>
      </w:pPr>
    </w:p>
    <w:p w:rsidR="00E7126F" w:rsidRDefault="00A357AF" w:rsidP="00A357AF">
      <w:pPr>
        <w:jc w:val="center"/>
        <w:rPr>
          <w:b/>
        </w:rPr>
      </w:pPr>
      <w:r w:rsidRPr="00A357AF">
        <w:rPr>
          <w:b/>
        </w:rPr>
        <w:t>Anteckningar från telefonmöte Insurance Committe 2015-08-24</w:t>
      </w:r>
    </w:p>
    <w:p w:rsidR="008A5171" w:rsidRDefault="008A5171" w:rsidP="008A5171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00"/>
        <w:gridCol w:w="3500"/>
      </w:tblGrid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top w:val="nil"/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Deltagare</w:t>
            </w:r>
          </w:p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Klaus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Wegenkittl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Aktuarvereiningung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Österreichs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Karel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Goossens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IA/BE (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Belgium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)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Bruno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Kokken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IA/BE (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Belgium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)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Mike Poulding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Channel Islands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Actuarial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Association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Kirsten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Sasady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Den Danske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Aktuarforening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Esko Kivisaari (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Chairperson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Suomen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Aktuaariyhdistys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Lauri Saraste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Suomen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Aktuaariyhdistys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Vasilis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Aggelou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Hellenic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Actuarial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Society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Istvan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Kerenyi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Magyar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Aktuárius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Táraság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Tony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O’Riordan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Society of Actuaries in Ireland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Giovanni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Sammartini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Consiglio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Nazionale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degli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Attuari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Peter Franken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Het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Koninklijk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Actuarieel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Genootschap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Astrid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Seltmann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Den Norske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Aktuarforening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Ana Maria Martins Pereira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Instituto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dos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Actuarios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Portugueses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Maria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Kamenarova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Slovenská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spoločnost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’ </w:t>
            </w: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aktuárov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Katarina Östberg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Svenska Aktuarieföreningen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Kartina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Thomson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Institute and Faculty of Actuaries </w:t>
            </w:r>
          </w:p>
        </w:tc>
      </w:tr>
      <w:tr w:rsidR="008A5171" w:rsidRPr="008A5171" w:rsidTr="008A517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500" w:type="dxa"/>
            <w:tcBorders>
              <w:lef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Michael Lucas </w:t>
            </w:r>
          </w:p>
        </w:tc>
        <w:tc>
          <w:tcPr>
            <w:tcW w:w="3500" w:type="dxa"/>
            <w:tcBorders>
              <w:right w:val="nil"/>
            </w:tcBorders>
          </w:tcPr>
          <w:p w:rsidR="008A5171" w:rsidRPr="008A5171" w:rsidRDefault="008A5171" w:rsidP="0070455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Secretariat</w:t>
            </w:r>
            <w:proofErr w:type="spellEnd"/>
            <w:r w:rsidRPr="008A517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A357AF" w:rsidRPr="00A357AF" w:rsidRDefault="00A357AF" w:rsidP="00A357AF"/>
    <w:p w:rsidR="00A357AF" w:rsidRDefault="00CC6CE4" w:rsidP="00A357AF">
      <w:pPr>
        <w:pStyle w:val="Liststycke"/>
        <w:numPr>
          <w:ilvl w:val="0"/>
          <w:numId w:val="1"/>
        </w:numPr>
      </w:pPr>
      <w:r>
        <w:t>Solvens</w:t>
      </w:r>
      <w:r w:rsidR="00A357AF">
        <w:t xml:space="preserve"> II</w:t>
      </w:r>
    </w:p>
    <w:p w:rsidR="00A357AF" w:rsidRDefault="00A357AF" w:rsidP="00377880">
      <w:pPr>
        <w:pStyle w:val="Liststycke"/>
      </w:pPr>
      <w:r>
        <w:t>Esko Kivisaari (Finland) rap</w:t>
      </w:r>
      <w:r w:rsidR="001D222A">
        <w:t>porterade att</w:t>
      </w:r>
      <w:r w:rsidR="00377880">
        <w:t xml:space="preserve"> ett  telefonmöte</w:t>
      </w:r>
      <w:r>
        <w:t xml:space="preserve"> den 25/8 med </w:t>
      </w:r>
      <w:r w:rsidR="00B827F9">
        <w:t>Solvency</w:t>
      </w:r>
      <w:r>
        <w:t xml:space="preserve"> II </w:t>
      </w:r>
      <w:r w:rsidR="00B827F9">
        <w:t>Project</w:t>
      </w:r>
      <w:r>
        <w:t xml:space="preserve"> team </w:t>
      </w:r>
      <w:r w:rsidR="00377880">
        <w:t xml:space="preserve">(SPT) </w:t>
      </w:r>
      <w:r w:rsidR="001D222A">
        <w:t>ska diskutera utestående frågor avseende</w:t>
      </w:r>
      <w:r w:rsidR="002A08A5">
        <w:t xml:space="preserve"> dokumentet Terms of </w:t>
      </w:r>
      <w:proofErr w:type="spellStart"/>
      <w:r w:rsidR="002A08A5">
        <w:t>Reference</w:t>
      </w:r>
      <w:proofErr w:type="spellEnd"/>
      <w:r w:rsidR="001D222A">
        <w:t xml:space="preserve">. Han hänvisade också till </w:t>
      </w:r>
      <w:proofErr w:type="spellStart"/>
      <w:r w:rsidR="001D222A">
        <w:t>EIOPA:s</w:t>
      </w:r>
      <w:proofErr w:type="spellEnd"/>
      <w:r w:rsidR="001D222A">
        <w:t xml:space="preserve"> rapportpaket med vägledning om XBRL taxonomi</w:t>
      </w:r>
      <w:r w:rsidR="00377880">
        <w:t>, och</w:t>
      </w:r>
      <w:r w:rsidR="001D222A">
        <w:t xml:space="preserve"> del 2 av SII tekniska standarder och riktlinjer. Se punkt 5 nedan (Möte med EIOPA</w:t>
      </w:r>
      <w:r w:rsidR="00377880">
        <w:t>) för mer info.</w:t>
      </w:r>
    </w:p>
    <w:p w:rsidR="00A357AF" w:rsidRDefault="00A357AF" w:rsidP="00A357AF">
      <w:pPr>
        <w:pStyle w:val="Liststycke"/>
      </w:pPr>
    </w:p>
    <w:p w:rsidR="00650E43" w:rsidRDefault="00A357AF" w:rsidP="002A08A5">
      <w:pPr>
        <w:pStyle w:val="Liststycke"/>
        <w:numPr>
          <w:ilvl w:val="0"/>
          <w:numId w:val="1"/>
        </w:numPr>
      </w:pPr>
      <w:r>
        <w:t>Lågränteläget</w:t>
      </w:r>
    </w:p>
    <w:p w:rsidR="00A357AF" w:rsidRDefault="00B824A6" w:rsidP="00A357AF">
      <w:pPr>
        <w:pStyle w:val="Liststycke"/>
      </w:pPr>
      <w:r>
        <w:t xml:space="preserve">Esko tog upp den </w:t>
      </w:r>
      <w:r w:rsidR="00A357AF">
        <w:t>enkät som skickat</w:t>
      </w:r>
      <w:r w:rsidR="002A08A5">
        <w:t>s</w:t>
      </w:r>
      <w:r w:rsidR="00A357AF">
        <w:t xml:space="preserve"> ut till medlemsför</w:t>
      </w:r>
      <w:r w:rsidR="003667B7">
        <w:t>e</w:t>
      </w:r>
      <w:r w:rsidR="00A357AF">
        <w:t xml:space="preserve">ningarna - en kopia skickas med i dessa anteckningar avseende sammanfattning och analys av de svar som fåtts. EIOPA har välkomnat undersökningen och </w:t>
      </w:r>
      <w:r>
        <w:t>hoppas på den andra etappen med e</w:t>
      </w:r>
      <w:r w:rsidR="002A08A5">
        <w:t>n fördjupning inom detta område,  a</w:t>
      </w:r>
      <w:r>
        <w:t>vseende garanterad ränta och försäkringstagarnas beteenden.</w:t>
      </w:r>
    </w:p>
    <w:p w:rsidR="00676721" w:rsidRDefault="00676721" w:rsidP="00A357AF">
      <w:pPr>
        <w:pStyle w:val="Liststycke"/>
      </w:pPr>
    </w:p>
    <w:p w:rsidR="00B824A6" w:rsidRDefault="00676721" w:rsidP="00B824A6">
      <w:pPr>
        <w:pStyle w:val="Liststycke"/>
        <w:numPr>
          <w:ilvl w:val="0"/>
          <w:numId w:val="1"/>
        </w:numPr>
      </w:pPr>
      <w:r>
        <w:t>Långsiktiga infrastrukturinve</w:t>
      </w:r>
      <w:r w:rsidR="00B824A6">
        <w:t>steringar</w:t>
      </w:r>
    </w:p>
    <w:p w:rsidR="00B824A6" w:rsidRPr="00676721" w:rsidRDefault="00B824A6" w:rsidP="00676721">
      <w:pPr>
        <w:pStyle w:val="Liststycke"/>
        <w:spacing w:after="0" w:line="240" w:lineRule="auto"/>
      </w:pPr>
      <w:r w:rsidRPr="00676721">
        <w:t xml:space="preserve">Esko </w:t>
      </w:r>
      <w:r w:rsidR="00676721">
        <w:t xml:space="preserve">tog upp </w:t>
      </w:r>
      <w:proofErr w:type="spellStart"/>
      <w:r w:rsidR="00676721">
        <w:t>EIOPAs</w:t>
      </w:r>
      <w:proofErr w:type="spellEnd"/>
      <w:r w:rsidRPr="00676721">
        <w:t xml:space="preserve"> senaste samrådsdokument om identifiering och </w:t>
      </w:r>
      <w:r w:rsidRPr="003667B7">
        <w:t xml:space="preserve">kalibrering av </w:t>
      </w:r>
      <w:r w:rsidR="002A08A5" w:rsidRPr="003667B7">
        <w:t xml:space="preserve">riskkategorier inom </w:t>
      </w:r>
      <w:r w:rsidRPr="003667B7">
        <w:t>infrastru</w:t>
      </w:r>
      <w:r w:rsidR="002A08A5" w:rsidRPr="003667B7">
        <w:t xml:space="preserve">kturinvesteringar </w:t>
      </w:r>
      <w:r w:rsidR="002A08A5">
        <w:t xml:space="preserve"> </w:t>
      </w:r>
      <w:r w:rsidRPr="00676721">
        <w:t xml:space="preserve">och </w:t>
      </w:r>
      <w:proofErr w:type="spellStart"/>
      <w:r w:rsidRPr="00676721">
        <w:t>AAE</w:t>
      </w:r>
      <w:r w:rsidR="002A08A5">
        <w:t>s</w:t>
      </w:r>
      <w:proofErr w:type="spellEnd"/>
      <w:r w:rsidRPr="00676721">
        <w:t xml:space="preserve"> svar. EIOPA har bett om ett klargörande från AAE på en punkt i vårt svar. AAE kommer att vara representerade vid </w:t>
      </w:r>
      <w:r w:rsidR="00676721">
        <w:t xml:space="preserve">ett </w:t>
      </w:r>
      <w:r w:rsidRPr="00676721">
        <w:t xml:space="preserve">möte </w:t>
      </w:r>
      <w:r w:rsidR="00676721">
        <w:t>med EIOPA</w:t>
      </w:r>
      <w:r w:rsidRPr="00676721">
        <w:t xml:space="preserve"> den 4 september, och det kommer att bli ytterligare diskussion om detta ämne vid det kommande mötet i Bukarest. Esko konstaterade att det finns press på kommissionen att vidta åtgärder på infrastrukturinvesteringar.</w:t>
      </w:r>
    </w:p>
    <w:p w:rsidR="00B824A6" w:rsidRDefault="00B824A6" w:rsidP="00A357AF">
      <w:pPr>
        <w:pStyle w:val="Liststycke"/>
      </w:pPr>
    </w:p>
    <w:p w:rsidR="00690113" w:rsidRDefault="00690113" w:rsidP="00A357AF">
      <w:pPr>
        <w:pStyle w:val="Liststycke"/>
      </w:pPr>
    </w:p>
    <w:p w:rsidR="007B7C9A" w:rsidRDefault="007B7C9A" w:rsidP="007B7C9A">
      <w:pPr>
        <w:pStyle w:val="Liststycke"/>
        <w:numPr>
          <w:ilvl w:val="0"/>
          <w:numId w:val="1"/>
        </w:numPr>
      </w:pPr>
      <w:r>
        <w:lastRenderedPageBreak/>
        <w:t>Capital Market Union (CMU)</w:t>
      </w:r>
    </w:p>
    <w:p w:rsidR="007B7C9A" w:rsidRDefault="007B7C9A" w:rsidP="007B7C9A">
      <w:pPr>
        <w:pStyle w:val="Liststycke"/>
      </w:pPr>
      <w:r>
        <w:t>Inget nytt att rapportera. Esko påpekade att CMU är sammankopplad med infrastuktur i kommissionens agenda.</w:t>
      </w:r>
    </w:p>
    <w:p w:rsidR="007B7C9A" w:rsidRDefault="007B7C9A" w:rsidP="007B7C9A">
      <w:pPr>
        <w:pStyle w:val="Liststycke"/>
      </w:pPr>
    </w:p>
    <w:p w:rsidR="002175AF" w:rsidRDefault="007B7C9A" w:rsidP="002175AF">
      <w:pPr>
        <w:pStyle w:val="Liststycke"/>
        <w:numPr>
          <w:ilvl w:val="0"/>
          <w:numId w:val="1"/>
        </w:numPr>
      </w:pPr>
      <w:r>
        <w:t>Info från möte med EIOPA 1 juli</w:t>
      </w:r>
    </w:p>
    <w:p w:rsidR="00A357AF" w:rsidRDefault="00613D9E" w:rsidP="002175AF">
      <w:pPr>
        <w:pStyle w:val="Liststycke"/>
      </w:pPr>
      <w:r>
        <w:t>Försäkringsp</w:t>
      </w:r>
      <w:r w:rsidR="007B7C9A">
        <w:t>unkter från agendan: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>Solvency II utestående fr</w:t>
      </w:r>
      <w:r w:rsidR="003667B7">
        <w:t>ågo</w:t>
      </w:r>
      <w:r>
        <w:t>r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 xml:space="preserve">Stresstester som är anpassade till försäkring (nu </w:t>
      </w:r>
      <w:r w:rsidR="003667B7">
        <w:t>alltför bank</w:t>
      </w:r>
      <w:r>
        <w:t>orienterade)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>Lågränteläget och utmaningen för livbolag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>Investeringar i infrastuktur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>Global ICS</w:t>
      </w:r>
    </w:p>
    <w:p w:rsidR="007B7C9A" w:rsidRDefault="007B7C9A" w:rsidP="007B7C9A">
      <w:pPr>
        <w:pStyle w:val="Liststycke"/>
        <w:numPr>
          <w:ilvl w:val="0"/>
          <w:numId w:val="2"/>
        </w:numPr>
      </w:pPr>
      <w:r>
        <w:t>IBER</w:t>
      </w:r>
    </w:p>
    <w:p w:rsidR="007B7C9A" w:rsidRDefault="00613D9E" w:rsidP="00613D9E">
      <w:pPr>
        <w:pStyle w:val="Liststycke"/>
        <w:ind w:left="1080"/>
      </w:pPr>
      <w:r>
        <w:t>Anteckningar från mötet finns bifogat till anteckningarna.</w:t>
      </w:r>
    </w:p>
    <w:p w:rsidR="00613D9E" w:rsidRDefault="00613D9E" w:rsidP="00613D9E">
      <w:pPr>
        <w:pStyle w:val="Liststycke"/>
        <w:ind w:left="1080"/>
      </w:pPr>
    </w:p>
    <w:p w:rsidR="00613D9E" w:rsidRDefault="00613D9E" w:rsidP="00613D9E">
      <w:pPr>
        <w:pStyle w:val="Liststycke"/>
        <w:numPr>
          <w:ilvl w:val="0"/>
          <w:numId w:val="1"/>
        </w:numPr>
      </w:pPr>
      <w:r>
        <w:t xml:space="preserve">Age and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Directive</w:t>
      </w:r>
      <w:proofErr w:type="spellEnd"/>
    </w:p>
    <w:p w:rsidR="002175AF" w:rsidRDefault="00613D9E" w:rsidP="002A08A5">
      <w:pPr>
        <w:pStyle w:val="Liststycke"/>
      </w:pPr>
      <w:r>
        <w:t xml:space="preserve">Tony </w:t>
      </w:r>
      <w:proofErr w:type="spellStart"/>
      <w:r>
        <w:t>O´Riordan</w:t>
      </w:r>
      <w:proofErr w:type="spellEnd"/>
      <w:r>
        <w:t xml:space="preserve"> rapporterade att inget nytt hade hänt inom detta område. Vi fortsätter att bevaka.</w:t>
      </w:r>
    </w:p>
    <w:p w:rsidR="002A08A5" w:rsidRDefault="002A08A5" w:rsidP="002A08A5">
      <w:pPr>
        <w:pStyle w:val="Liststycke"/>
      </w:pPr>
    </w:p>
    <w:p w:rsidR="00067CBA" w:rsidRDefault="003667B7" w:rsidP="00067CBA">
      <w:pPr>
        <w:pStyle w:val="Liststycke"/>
        <w:numPr>
          <w:ilvl w:val="0"/>
          <w:numId w:val="1"/>
        </w:numPr>
      </w:pPr>
      <w:r>
        <w:t xml:space="preserve">ESAP och EAN angående </w:t>
      </w:r>
      <w:r w:rsidR="00067CBA">
        <w:t>ORSA</w:t>
      </w:r>
    </w:p>
    <w:p w:rsidR="00067CBA" w:rsidRDefault="00067CBA" w:rsidP="00067CBA">
      <w:pPr>
        <w:pStyle w:val="Liststycke"/>
      </w:pPr>
      <w:r w:rsidRPr="00067CBA">
        <w:t>Esko rapporterade att den första Exposure Draft of ESAP3</w:t>
      </w:r>
      <w:r>
        <w:t xml:space="preserve"> nästan är klar för publicering. EAN ska diskuteras i </w:t>
      </w:r>
      <w:proofErr w:type="spellStart"/>
      <w:r>
        <w:t>kommitten</w:t>
      </w:r>
      <w:proofErr w:type="spellEnd"/>
      <w:r>
        <w:t xml:space="preserve"> på kommande möte i Bukarest.</w:t>
      </w:r>
    </w:p>
    <w:p w:rsidR="00067CBA" w:rsidRDefault="00067CBA" w:rsidP="00067CBA">
      <w:pPr>
        <w:pStyle w:val="Liststycke"/>
      </w:pPr>
      <w:r>
        <w:t xml:space="preserve">Ytterligare medlem till arbetsgruppen blir Lauri Saraste. </w:t>
      </w:r>
    </w:p>
    <w:p w:rsidR="00B01290" w:rsidRPr="00067CBA" w:rsidRDefault="00B01290" w:rsidP="00067CBA">
      <w:pPr>
        <w:pStyle w:val="Liststycke"/>
      </w:pPr>
    </w:p>
    <w:p w:rsidR="00B01290" w:rsidRDefault="00B01290" w:rsidP="00B01290">
      <w:pPr>
        <w:pStyle w:val="Liststycke"/>
        <w:numPr>
          <w:ilvl w:val="0"/>
          <w:numId w:val="1"/>
        </w:numPr>
      </w:pPr>
      <w:r>
        <w:t xml:space="preserve">Insurance Block 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Regulation</w:t>
      </w:r>
      <w:proofErr w:type="spellEnd"/>
    </w:p>
    <w:p w:rsidR="004E11AC" w:rsidRDefault="004E11AC" w:rsidP="004E11AC">
      <w:pPr>
        <w:pStyle w:val="Liststycke"/>
      </w:pPr>
      <w:r>
        <w:rPr>
          <w:rStyle w:val="hps"/>
        </w:rPr>
        <w:t>Tony</w:t>
      </w:r>
      <w:r>
        <w:t xml:space="preserve"> </w:t>
      </w:r>
      <w:r>
        <w:rPr>
          <w:rStyle w:val="hps"/>
        </w:rPr>
        <w:t>rapporterade att</w:t>
      </w:r>
      <w:r>
        <w:t xml:space="preserve"> </w:t>
      </w:r>
      <w:r>
        <w:rPr>
          <w:rStyle w:val="hps"/>
        </w:rPr>
        <w:t>kommissionen nyligen</w:t>
      </w:r>
      <w:r>
        <w:t xml:space="preserve"> </w:t>
      </w:r>
      <w:r>
        <w:rPr>
          <w:rStyle w:val="hps"/>
        </w:rPr>
        <w:t>hade</w:t>
      </w:r>
      <w:r>
        <w:t xml:space="preserve"> </w:t>
      </w:r>
      <w:r>
        <w:rPr>
          <w:rStyle w:val="hps"/>
        </w:rPr>
        <w:t>utfärdat ett</w:t>
      </w:r>
      <w:r>
        <w:t xml:space="preserve"> </w:t>
      </w:r>
      <w:r>
        <w:rPr>
          <w:rStyle w:val="hps"/>
        </w:rPr>
        <w:t>anbudsförfarande</w:t>
      </w:r>
      <w:r>
        <w:t xml:space="preserve"> </w:t>
      </w:r>
      <w:r>
        <w:rPr>
          <w:rStyle w:val="hps"/>
        </w:rPr>
        <w:t>för att</w:t>
      </w:r>
      <w:r>
        <w:t xml:space="preserve"> </w:t>
      </w:r>
      <w:r>
        <w:rPr>
          <w:rStyle w:val="hps"/>
        </w:rPr>
        <w:t>studera hur</w:t>
      </w:r>
      <w:r>
        <w:t xml:space="preserve"> </w:t>
      </w:r>
      <w:r>
        <w:rPr>
          <w:rStyle w:val="hps"/>
        </w:rPr>
        <w:t>IBER</w:t>
      </w:r>
      <w:r>
        <w:t xml:space="preserve"> </w:t>
      </w:r>
      <w:r>
        <w:rPr>
          <w:rStyle w:val="hps"/>
        </w:rPr>
        <w:t>fungerar och</w:t>
      </w:r>
      <w:r>
        <w:t xml:space="preserve"> </w:t>
      </w:r>
      <w:r>
        <w:rPr>
          <w:rStyle w:val="hps"/>
        </w:rPr>
        <w:t>hur man ska gå</w:t>
      </w:r>
      <w:r>
        <w:t xml:space="preserve"> </w:t>
      </w:r>
      <w:r>
        <w:rPr>
          <w:rStyle w:val="hps"/>
        </w:rPr>
        <w:t>vidare med</w:t>
      </w:r>
      <w:r>
        <w:t xml:space="preserve"> </w:t>
      </w:r>
      <w:r>
        <w:rPr>
          <w:rStyle w:val="hps"/>
        </w:rPr>
        <w:t>det</w:t>
      </w:r>
      <w:r>
        <w:t xml:space="preserve">. </w:t>
      </w:r>
      <w:r>
        <w:rPr>
          <w:rStyle w:val="hps"/>
        </w:rPr>
        <w:t>Men</w:t>
      </w:r>
      <w:r>
        <w:t xml:space="preserve"> </w:t>
      </w:r>
      <w:r>
        <w:rPr>
          <w:rStyle w:val="hps"/>
        </w:rPr>
        <w:t>inga anbud</w:t>
      </w:r>
      <w:r>
        <w:t xml:space="preserve"> </w:t>
      </w:r>
      <w:r>
        <w:rPr>
          <w:rStyle w:val="hps"/>
        </w:rPr>
        <w:t>har lämnats</w:t>
      </w:r>
      <w:r>
        <w:t xml:space="preserve"> </w:t>
      </w:r>
      <w:r>
        <w:rPr>
          <w:rStyle w:val="hps"/>
        </w:rPr>
        <w:t>-</w:t>
      </w:r>
      <w:r>
        <w:t xml:space="preserve"> </w:t>
      </w:r>
      <w:r>
        <w:rPr>
          <w:rStyle w:val="hps"/>
        </w:rPr>
        <w:t>Tony</w:t>
      </w:r>
      <w:r>
        <w:t xml:space="preserve"> </w:t>
      </w:r>
      <w:r>
        <w:rPr>
          <w:rStyle w:val="hps"/>
        </w:rPr>
        <w:t>föreslog att</w:t>
      </w:r>
      <w:r>
        <w:t xml:space="preserve"> </w:t>
      </w:r>
      <w:r w:rsidR="00453D19">
        <w:rPr>
          <w:rStyle w:val="hps"/>
        </w:rPr>
        <w:t xml:space="preserve">förfrågan </w:t>
      </w:r>
      <w:r>
        <w:rPr>
          <w:rStyle w:val="hps"/>
        </w:rPr>
        <w:t>var</w:t>
      </w:r>
      <w:r>
        <w:t xml:space="preserve"> </w:t>
      </w:r>
      <w:r>
        <w:rPr>
          <w:rStyle w:val="hps"/>
        </w:rPr>
        <w:t>alltför</w:t>
      </w:r>
      <w:r>
        <w:t xml:space="preserve"> </w:t>
      </w:r>
      <w:r w:rsidR="00453D19">
        <w:rPr>
          <w:rStyle w:val="hps"/>
        </w:rPr>
        <w:t>detaljerad</w:t>
      </w:r>
      <w:r>
        <w:rPr>
          <w:rStyle w:val="hps"/>
        </w:rPr>
        <w:t xml:space="preserve"> och</w:t>
      </w:r>
      <w:r>
        <w:t xml:space="preserve"> </w:t>
      </w:r>
      <w:r>
        <w:rPr>
          <w:rStyle w:val="hps"/>
        </w:rPr>
        <w:t>omfattande</w:t>
      </w:r>
      <w:r>
        <w:t xml:space="preserve">. </w:t>
      </w:r>
      <w:r>
        <w:rPr>
          <w:rStyle w:val="hps"/>
        </w:rPr>
        <w:t xml:space="preserve">Kommissionen </w:t>
      </w:r>
      <w:r w:rsidR="00453D19">
        <w:rPr>
          <w:rStyle w:val="hps"/>
        </w:rPr>
        <w:t>behöver revidera den.</w:t>
      </w:r>
      <w:r>
        <w:t xml:space="preserve"> </w:t>
      </w:r>
      <w:r>
        <w:rPr>
          <w:rStyle w:val="hps"/>
        </w:rPr>
        <w:t>Det finns inge</w:t>
      </w:r>
      <w:r w:rsidR="00453D19">
        <w:rPr>
          <w:rStyle w:val="hps"/>
        </w:rPr>
        <w:t>t</w:t>
      </w:r>
      <w:r>
        <w:t xml:space="preserve"> </w:t>
      </w:r>
      <w:r>
        <w:rPr>
          <w:rStyle w:val="hps"/>
        </w:rPr>
        <w:t>ytterligare</w:t>
      </w:r>
      <w:r>
        <w:t xml:space="preserve"> </w:t>
      </w:r>
      <w:proofErr w:type="spellStart"/>
      <w:r>
        <w:rPr>
          <w:rStyle w:val="hps"/>
        </w:rPr>
        <w:t>AAE</w:t>
      </w:r>
      <w:r w:rsidR="00453D19">
        <w:rPr>
          <w:rStyle w:val="hps"/>
        </w:rPr>
        <w:t>-</w:t>
      </w:r>
      <w:r>
        <w:rPr>
          <w:rStyle w:val="hps"/>
        </w:rPr>
        <w:t>engagemang</w:t>
      </w:r>
      <w:proofErr w:type="spellEnd"/>
      <w:r>
        <w:t xml:space="preserve"> </w:t>
      </w:r>
      <w:r>
        <w:rPr>
          <w:rStyle w:val="hps"/>
        </w:rPr>
        <w:t>för tillfället</w:t>
      </w:r>
      <w:r>
        <w:t>.</w:t>
      </w:r>
    </w:p>
    <w:p w:rsidR="00B01290" w:rsidRDefault="00B01290" w:rsidP="00B01290">
      <w:pPr>
        <w:pStyle w:val="Default"/>
        <w:rPr>
          <w:b/>
          <w:bCs/>
          <w:sz w:val="20"/>
          <w:szCs w:val="20"/>
        </w:rPr>
      </w:pPr>
    </w:p>
    <w:p w:rsidR="002A08A5" w:rsidRDefault="006E1E0D" w:rsidP="002A08A5">
      <w:pPr>
        <w:pStyle w:val="Liststycke"/>
        <w:numPr>
          <w:ilvl w:val="0"/>
          <w:numId w:val="1"/>
        </w:numPr>
      </w:pPr>
      <w:r>
        <w:t xml:space="preserve">Big data och </w:t>
      </w:r>
      <w:proofErr w:type="spellStart"/>
      <w:r>
        <w:t>cyber</w:t>
      </w:r>
      <w:proofErr w:type="spellEnd"/>
      <w:r>
        <w:t xml:space="preserve"> risk</w:t>
      </w:r>
    </w:p>
    <w:p w:rsidR="006E1E0D" w:rsidRPr="002D26E9" w:rsidRDefault="002A08A5" w:rsidP="002A08A5">
      <w:pPr>
        <w:pStyle w:val="Liststycke"/>
        <w:rPr>
          <w:rStyle w:val="hps"/>
          <w:lang w:val="en-US"/>
        </w:rPr>
      </w:pPr>
      <w:r>
        <w:rPr>
          <w:rStyle w:val="hps"/>
        </w:rPr>
        <w:t>Inget nytt har hänt under sommaren</w:t>
      </w:r>
      <w:r w:rsidR="006E1E0D" w:rsidRPr="002A08A5">
        <w:rPr>
          <w:rStyle w:val="hps"/>
        </w:rPr>
        <w:t xml:space="preserve">. </w:t>
      </w:r>
      <w:r w:rsidR="006E1E0D" w:rsidRPr="002D26E9">
        <w:rPr>
          <w:rStyle w:val="hps"/>
          <w:lang w:val="en-US"/>
        </w:rPr>
        <w:t xml:space="preserve">Petra Wildermann ska presentera ”Cyber risks and it´s Insurability” </w:t>
      </w:r>
      <w:r w:rsidR="002D26E9" w:rsidRPr="002D26E9">
        <w:rPr>
          <w:rStyle w:val="hps"/>
          <w:lang w:val="en-US"/>
        </w:rPr>
        <w:t>in</w:t>
      </w:r>
      <w:r w:rsidR="006E1E0D" w:rsidRPr="002D26E9">
        <w:rPr>
          <w:rStyle w:val="hps"/>
          <w:lang w:val="en-US"/>
        </w:rPr>
        <w:t>fö</w:t>
      </w:r>
      <w:r w:rsidR="002D26E9">
        <w:rPr>
          <w:rStyle w:val="hps"/>
          <w:lang w:val="en-US"/>
        </w:rPr>
        <w:t>r General Assembly i</w:t>
      </w:r>
      <w:r w:rsidR="006E1E0D" w:rsidRPr="002D26E9">
        <w:rPr>
          <w:rStyle w:val="hps"/>
          <w:lang w:val="en-US"/>
        </w:rPr>
        <w:t xml:space="preserve"> Bukarest, 25 september.</w:t>
      </w:r>
    </w:p>
    <w:p w:rsidR="006E1E0D" w:rsidRPr="006E1E0D" w:rsidRDefault="006E1E0D" w:rsidP="006E1E0D">
      <w:pPr>
        <w:pStyle w:val="Default"/>
        <w:ind w:left="360"/>
        <w:rPr>
          <w:sz w:val="20"/>
          <w:szCs w:val="20"/>
          <w:lang w:val="en-US"/>
        </w:rPr>
      </w:pPr>
    </w:p>
    <w:p w:rsidR="002A08A5" w:rsidRDefault="002175AF" w:rsidP="002A08A5">
      <w:pPr>
        <w:pStyle w:val="Liststycke"/>
        <w:numPr>
          <w:ilvl w:val="0"/>
          <w:numId w:val="1"/>
        </w:numPr>
      </w:pPr>
      <w:proofErr w:type="spellStart"/>
      <w:r>
        <w:t>Stochastic</w:t>
      </w:r>
      <w:proofErr w:type="spellEnd"/>
      <w:r>
        <w:t xml:space="preserve"> </w:t>
      </w:r>
      <w:proofErr w:type="spellStart"/>
      <w:r>
        <w:t>reserving</w:t>
      </w:r>
      <w:proofErr w:type="spellEnd"/>
    </w:p>
    <w:p w:rsidR="002175AF" w:rsidRPr="002A08A5" w:rsidRDefault="002175AF" w:rsidP="002A08A5">
      <w:pPr>
        <w:pStyle w:val="Liststycke"/>
        <w:rPr>
          <w:rStyle w:val="hps"/>
        </w:rPr>
      </w:pPr>
      <w:proofErr w:type="spellStart"/>
      <w:r w:rsidRPr="002A08A5">
        <w:rPr>
          <w:rStyle w:val="hps"/>
        </w:rPr>
        <w:t>Kartina</w:t>
      </w:r>
      <w:proofErr w:type="spellEnd"/>
      <w:r w:rsidRPr="002A08A5">
        <w:rPr>
          <w:rStyle w:val="hps"/>
        </w:rPr>
        <w:t xml:space="preserve"> Thomson refer</w:t>
      </w:r>
      <w:r w:rsidR="002A08A5" w:rsidRPr="002A08A5">
        <w:rPr>
          <w:rStyle w:val="hps"/>
        </w:rPr>
        <w:t>er</w:t>
      </w:r>
      <w:r w:rsidRPr="002A08A5">
        <w:rPr>
          <w:rStyle w:val="hps"/>
        </w:rPr>
        <w:t xml:space="preserve">ade till </w:t>
      </w:r>
      <w:r w:rsidR="002D26E9">
        <w:rPr>
          <w:rStyle w:val="hps"/>
        </w:rPr>
        <w:t>en artikel (</w:t>
      </w:r>
      <w:r w:rsidRPr="002A08A5">
        <w:rPr>
          <w:rStyle w:val="hps"/>
        </w:rPr>
        <w:t>ett “</w:t>
      </w:r>
      <w:proofErr w:type="spellStart"/>
      <w:r w:rsidRPr="002A08A5">
        <w:rPr>
          <w:rStyle w:val="hps"/>
        </w:rPr>
        <w:t>paper</w:t>
      </w:r>
      <w:proofErr w:type="spellEnd"/>
      <w:r w:rsidRPr="002A08A5">
        <w:rPr>
          <w:rStyle w:val="hps"/>
        </w:rPr>
        <w:t>”</w:t>
      </w:r>
      <w:r w:rsidR="002D26E9">
        <w:rPr>
          <w:rStyle w:val="hps"/>
        </w:rPr>
        <w:t>)</w:t>
      </w:r>
      <w:r w:rsidRPr="002A08A5">
        <w:rPr>
          <w:rStyle w:val="hps"/>
        </w:rPr>
        <w:t xml:space="preserve"> om stokastiska reserveringstekniker från </w:t>
      </w:r>
      <w:proofErr w:type="spellStart"/>
      <w:r w:rsidRPr="002A08A5">
        <w:rPr>
          <w:rStyle w:val="hps"/>
        </w:rPr>
        <w:t>Institute</w:t>
      </w:r>
      <w:proofErr w:type="spellEnd"/>
      <w:r w:rsidRPr="002A08A5">
        <w:rPr>
          <w:rStyle w:val="hps"/>
        </w:rPr>
        <w:t xml:space="preserve"> and </w:t>
      </w:r>
      <w:proofErr w:type="spellStart"/>
      <w:r w:rsidRPr="002A08A5">
        <w:rPr>
          <w:rStyle w:val="hps"/>
        </w:rPr>
        <w:t>Faculty</w:t>
      </w:r>
      <w:proofErr w:type="spellEnd"/>
      <w:r w:rsidRPr="002A08A5">
        <w:rPr>
          <w:rStyle w:val="hps"/>
        </w:rPr>
        <w:t xml:space="preserve"> of </w:t>
      </w:r>
      <w:proofErr w:type="spellStart"/>
      <w:r w:rsidRPr="002A08A5">
        <w:rPr>
          <w:rStyle w:val="hps"/>
        </w:rPr>
        <w:t>Actuaries</w:t>
      </w:r>
      <w:proofErr w:type="spellEnd"/>
      <w:r w:rsidRPr="002A08A5">
        <w:rPr>
          <w:rStyle w:val="hps"/>
        </w:rPr>
        <w:t>. Hon kommer att göra en prese</w:t>
      </w:r>
      <w:r w:rsidR="002A08A5" w:rsidRPr="002A08A5">
        <w:rPr>
          <w:rStyle w:val="hps"/>
        </w:rPr>
        <w:t>ntation av dokumentet på komm</w:t>
      </w:r>
      <w:r w:rsidR="002D26E9">
        <w:rPr>
          <w:rStyle w:val="hps"/>
        </w:rPr>
        <w:t>it</w:t>
      </w:r>
      <w:r w:rsidR="002A08A5" w:rsidRPr="002A08A5">
        <w:rPr>
          <w:rStyle w:val="hps"/>
        </w:rPr>
        <w:t>té</w:t>
      </w:r>
      <w:r w:rsidRPr="002A08A5">
        <w:rPr>
          <w:rStyle w:val="hps"/>
        </w:rPr>
        <w:t>ns möte i Bukarest.</w:t>
      </w:r>
    </w:p>
    <w:p w:rsidR="002175AF" w:rsidRPr="002175AF" w:rsidRDefault="002175AF" w:rsidP="002175AF">
      <w:pPr>
        <w:pStyle w:val="Liststycke"/>
      </w:pPr>
    </w:p>
    <w:p w:rsidR="006E1E0D" w:rsidRPr="002175AF" w:rsidRDefault="006E1E0D" w:rsidP="006E1E0D">
      <w:pPr>
        <w:pStyle w:val="Liststycke"/>
      </w:pPr>
    </w:p>
    <w:p w:rsidR="00613D9E" w:rsidRPr="002175AF" w:rsidRDefault="00613D9E" w:rsidP="00613D9E">
      <w:pPr>
        <w:pStyle w:val="Liststycke"/>
        <w:ind w:left="1080"/>
      </w:pPr>
    </w:p>
    <w:sectPr w:rsidR="00613D9E" w:rsidRPr="002175AF" w:rsidSect="00E7126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AC" w:rsidRDefault="004E11AC" w:rsidP="00A357AF">
      <w:pPr>
        <w:spacing w:after="0" w:line="240" w:lineRule="auto"/>
      </w:pPr>
      <w:r>
        <w:separator/>
      </w:r>
    </w:p>
  </w:endnote>
  <w:endnote w:type="continuationSeparator" w:id="0">
    <w:p w:rsidR="004E11AC" w:rsidRDefault="004E11AC" w:rsidP="00A3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41808"/>
      <w:docPartObj>
        <w:docPartGallery w:val="Page Numbers (Bottom of Page)"/>
        <w:docPartUnique/>
      </w:docPartObj>
    </w:sdtPr>
    <w:sdtContent>
      <w:p w:rsidR="00EE34B6" w:rsidRDefault="00EE34B6">
        <w:pPr>
          <w:pStyle w:val="Sidfot"/>
          <w:jc w:val="center"/>
        </w:pPr>
        <w:fldSimple w:instr=" PAGE   \* MERGEFORMAT ">
          <w:r w:rsidR="00187C84">
            <w:rPr>
              <w:noProof/>
            </w:rPr>
            <w:t>1</w:t>
          </w:r>
        </w:fldSimple>
      </w:p>
    </w:sdtContent>
  </w:sdt>
  <w:p w:rsidR="00EE34B6" w:rsidRDefault="00EE34B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AC" w:rsidRDefault="004E11AC" w:rsidP="00A357AF">
      <w:pPr>
        <w:spacing w:after="0" w:line="240" w:lineRule="auto"/>
      </w:pPr>
      <w:r>
        <w:separator/>
      </w:r>
    </w:p>
  </w:footnote>
  <w:footnote w:type="continuationSeparator" w:id="0">
    <w:p w:rsidR="004E11AC" w:rsidRDefault="004E11AC" w:rsidP="00A3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AC" w:rsidRDefault="004E11AC">
    <w:pPr>
      <w:pStyle w:val="Sidhuvud"/>
    </w:pPr>
    <w:r>
      <w:t>Katarina Östberg</w:t>
    </w:r>
    <w:r>
      <w:ptab w:relativeTo="margin" w:alignment="center" w:leader="none"/>
    </w:r>
    <w:r>
      <w:ptab w:relativeTo="margin" w:alignment="right" w:leader="none"/>
    </w:r>
    <w:r w:rsidR="00DD0133">
      <w:t>2015-09-06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34AA"/>
    <w:multiLevelType w:val="hybridMultilevel"/>
    <w:tmpl w:val="63F422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37B1"/>
    <w:multiLevelType w:val="hybridMultilevel"/>
    <w:tmpl w:val="F56485B8"/>
    <w:lvl w:ilvl="0" w:tplc="478056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7AF"/>
    <w:rsid w:val="00067CBA"/>
    <w:rsid w:val="00187C84"/>
    <w:rsid w:val="001D222A"/>
    <w:rsid w:val="002175AF"/>
    <w:rsid w:val="002A08A5"/>
    <w:rsid w:val="002D26E9"/>
    <w:rsid w:val="0033498C"/>
    <w:rsid w:val="003667B7"/>
    <w:rsid w:val="00377880"/>
    <w:rsid w:val="00453D19"/>
    <w:rsid w:val="004E11AC"/>
    <w:rsid w:val="00613D9E"/>
    <w:rsid w:val="00650E43"/>
    <w:rsid w:val="00676721"/>
    <w:rsid w:val="00690113"/>
    <w:rsid w:val="006E1E0D"/>
    <w:rsid w:val="007B7C9A"/>
    <w:rsid w:val="007E7195"/>
    <w:rsid w:val="00892EF6"/>
    <w:rsid w:val="008A5171"/>
    <w:rsid w:val="00A357AF"/>
    <w:rsid w:val="00B01290"/>
    <w:rsid w:val="00B824A6"/>
    <w:rsid w:val="00B827F9"/>
    <w:rsid w:val="00CC6CE4"/>
    <w:rsid w:val="00CE20EF"/>
    <w:rsid w:val="00DD0133"/>
    <w:rsid w:val="00E7126F"/>
    <w:rsid w:val="00EE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6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A35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357AF"/>
  </w:style>
  <w:style w:type="paragraph" w:styleId="Sidfot">
    <w:name w:val="footer"/>
    <w:basedOn w:val="Normal"/>
    <w:link w:val="SidfotChar"/>
    <w:uiPriority w:val="99"/>
    <w:unhideWhenUsed/>
    <w:rsid w:val="00A35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57AF"/>
  </w:style>
  <w:style w:type="paragraph" w:styleId="Ballongtext">
    <w:name w:val="Balloon Text"/>
    <w:basedOn w:val="Normal"/>
    <w:link w:val="BallongtextChar"/>
    <w:uiPriority w:val="99"/>
    <w:semiHidden/>
    <w:unhideWhenUsed/>
    <w:rsid w:val="00A3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57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357AF"/>
    <w:pPr>
      <w:ind w:left="720"/>
      <w:contextualSpacing/>
    </w:pPr>
  </w:style>
  <w:style w:type="character" w:customStyle="1" w:styleId="hps">
    <w:name w:val="hps"/>
    <w:basedOn w:val="Standardstycketeckensnitt"/>
    <w:rsid w:val="00A35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6370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5691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44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41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3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8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8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5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7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2375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374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41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62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Folksamgruppen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FKOS13</dc:creator>
  <cp:lastModifiedBy>FKOS13</cp:lastModifiedBy>
  <cp:revision>2</cp:revision>
  <cp:lastPrinted>2015-09-04T14:07:00Z</cp:lastPrinted>
  <dcterms:created xsi:type="dcterms:W3CDTF">2015-09-06T09:03:00Z</dcterms:created>
  <dcterms:modified xsi:type="dcterms:W3CDTF">2015-09-06T09:03:00Z</dcterms:modified>
</cp:coreProperties>
</file>